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278D" w14:textId="279CDC47" w:rsidR="00C51349" w:rsidRPr="00F740BB" w:rsidRDefault="00FF1403" w:rsidP="00483A66">
      <w:pPr>
        <w:pStyle w:val="Heading1"/>
        <w:rPr>
          <w:lang w:val="en-CA"/>
        </w:rPr>
      </w:pPr>
      <w:r w:rsidRPr="00F740BB">
        <w:rPr>
          <w:lang w:val="en-CA"/>
        </w:rPr>
        <w:t>Template for Article 32 written reports</w:t>
      </w:r>
      <w:r w:rsidR="00375E18" w:rsidRPr="00F740BB">
        <w:rPr>
          <w:lang w:val="en-CA"/>
        </w:rPr>
        <w:t xml:space="preserve"> </w:t>
      </w:r>
    </w:p>
    <w:p w14:paraId="5BF5108E" w14:textId="77777777" w:rsidR="00483A66" w:rsidRPr="00F740BB" w:rsidRDefault="00483A66" w:rsidP="00483A66">
      <w:pPr>
        <w:rPr>
          <w:lang w:val="en-CA"/>
        </w:rPr>
      </w:pPr>
    </w:p>
    <w:p w14:paraId="63890A99" w14:textId="77777777" w:rsidR="00483A66" w:rsidRPr="00F740BB" w:rsidRDefault="00483A66" w:rsidP="00483A66">
      <w:pPr>
        <w:rPr>
          <w:lang w:val="en-CA"/>
        </w:rPr>
      </w:pPr>
      <w:r w:rsidRPr="00F740BB">
        <w:rPr>
          <w:i/>
          <w:lang w:val="en-CA"/>
        </w:rPr>
        <w:t>In accordance with Article 32 of the Asia Pacific Parliamentary Forum Rules of Procedure, where a resolution is adopted by the Annual meeting, the cou</w:t>
      </w:r>
      <w:r w:rsidR="00A87E11" w:rsidRPr="00F740BB">
        <w:rPr>
          <w:i/>
          <w:lang w:val="en-CA"/>
        </w:rPr>
        <w:t>ntry tabling that resolution sh</w:t>
      </w:r>
      <w:r w:rsidRPr="00F740BB">
        <w:rPr>
          <w:i/>
          <w:lang w:val="en-CA"/>
        </w:rPr>
        <w:t xml:space="preserve">all provide the next host country with a written report on how that resolution has been put into effect no later than two months prior to the opening </w:t>
      </w:r>
      <w:r w:rsidR="00510925" w:rsidRPr="00F740BB">
        <w:rPr>
          <w:i/>
          <w:lang w:val="en-CA"/>
        </w:rPr>
        <w:t>date of the next Annual M</w:t>
      </w:r>
      <w:r w:rsidRPr="00F740BB">
        <w:rPr>
          <w:i/>
          <w:lang w:val="en-CA"/>
        </w:rPr>
        <w:t>eeting</w:t>
      </w:r>
      <w:r w:rsidR="003D46DB" w:rsidRPr="00F740BB">
        <w:rPr>
          <w:i/>
          <w:lang w:val="en-CA"/>
        </w:rPr>
        <w:t>.</w:t>
      </w:r>
    </w:p>
    <w:p w14:paraId="2CBC0B49" w14:textId="77777777" w:rsidR="00375E18" w:rsidRPr="00F740BB" w:rsidRDefault="003D46DB" w:rsidP="00483A66">
      <w:pPr>
        <w:rPr>
          <w:lang w:val="en-CA"/>
        </w:rPr>
      </w:pPr>
      <w:r w:rsidRPr="00F740BB">
        <w:rPr>
          <w:lang w:val="en-CA"/>
        </w:rPr>
        <w:t>Please submit to the host country secretariat no later than [two months prior to the opening date of the Annual Meeting]</w:t>
      </w:r>
    </w:p>
    <w:p w14:paraId="14558FB9" w14:textId="2F09F9AC" w:rsidR="004F709B" w:rsidRPr="00F740BB" w:rsidRDefault="004F709B" w:rsidP="004F709B">
      <w:pPr>
        <w:rPr>
          <w:lang w:val="en-CA"/>
        </w:rPr>
      </w:pPr>
    </w:p>
    <w:tbl>
      <w:tblPr>
        <w:tblStyle w:val="TableGrid"/>
        <w:tblW w:w="0" w:type="auto"/>
        <w:tblLook w:val="04A0" w:firstRow="1" w:lastRow="0" w:firstColumn="1" w:lastColumn="0" w:noHBand="0" w:noVBand="1"/>
      </w:tblPr>
      <w:tblGrid>
        <w:gridCol w:w="2366"/>
        <w:gridCol w:w="6650"/>
      </w:tblGrid>
      <w:tr w:rsidR="004F709B" w:rsidRPr="00F740BB" w14:paraId="5FBD537A" w14:textId="77777777" w:rsidTr="00E50BFA">
        <w:tc>
          <w:tcPr>
            <w:tcW w:w="2376" w:type="dxa"/>
            <w:shd w:val="clear" w:color="auto" w:fill="BFBFBF" w:themeFill="background1" w:themeFillShade="BF"/>
          </w:tcPr>
          <w:p w14:paraId="31775EDC" w14:textId="7EC64A39" w:rsidR="004F709B" w:rsidRPr="00F740BB" w:rsidRDefault="004F709B" w:rsidP="00E50BFA">
            <w:pPr>
              <w:spacing w:before="120" w:after="120"/>
              <w:rPr>
                <w:b/>
                <w:lang w:val="en-CA"/>
              </w:rPr>
            </w:pPr>
            <w:r w:rsidRPr="00F740BB">
              <w:rPr>
                <w:b/>
                <w:lang w:val="en-CA"/>
              </w:rPr>
              <w:t>Country name</w:t>
            </w:r>
            <w:r w:rsidR="00375E18" w:rsidRPr="00F740BB">
              <w:rPr>
                <w:b/>
                <w:lang w:val="en-CA"/>
              </w:rPr>
              <w:t xml:space="preserve">: </w:t>
            </w:r>
          </w:p>
        </w:tc>
        <w:tc>
          <w:tcPr>
            <w:tcW w:w="6866" w:type="dxa"/>
          </w:tcPr>
          <w:p w14:paraId="4B7EEFAB" w14:textId="77777777" w:rsidR="004F709B" w:rsidRPr="00F740BB" w:rsidRDefault="009F14B4" w:rsidP="00E50BFA">
            <w:pPr>
              <w:spacing w:before="120" w:after="120"/>
              <w:rPr>
                <w:lang w:val="en-CA"/>
              </w:rPr>
            </w:pPr>
            <w:r w:rsidRPr="00F740BB">
              <w:rPr>
                <w:lang w:val="en-CA"/>
              </w:rPr>
              <w:t>Canada</w:t>
            </w:r>
          </w:p>
        </w:tc>
      </w:tr>
      <w:tr w:rsidR="004F709B" w:rsidRPr="00F740BB" w14:paraId="2EB12E0C" w14:textId="77777777" w:rsidTr="00E50BFA">
        <w:tc>
          <w:tcPr>
            <w:tcW w:w="2376" w:type="dxa"/>
            <w:shd w:val="clear" w:color="auto" w:fill="BFBFBF" w:themeFill="background1" w:themeFillShade="BF"/>
          </w:tcPr>
          <w:p w14:paraId="7D385FC9" w14:textId="4766C8B0" w:rsidR="004F709B" w:rsidRPr="00F740BB" w:rsidRDefault="004F709B" w:rsidP="00E50BFA">
            <w:pPr>
              <w:spacing w:before="120" w:after="120"/>
              <w:rPr>
                <w:b/>
                <w:lang w:val="en-CA"/>
              </w:rPr>
            </w:pPr>
            <w:r w:rsidRPr="00F740BB">
              <w:rPr>
                <w:b/>
                <w:lang w:val="en-CA"/>
              </w:rPr>
              <w:t>Resolution</w:t>
            </w:r>
            <w:r w:rsidR="00375E18" w:rsidRPr="00F740BB">
              <w:rPr>
                <w:b/>
                <w:lang w:val="en-CA"/>
              </w:rPr>
              <w:t xml:space="preserve">: </w:t>
            </w:r>
          </w:p>
        </w:tc>
        <w:tc>
          <w:tcPr>
            <w:tcW w:w="6866" w:type="dxa"/>
          </w:tcPr>
          <w:p w14:paraId="76BF9482" w14:textId="10D8F079" w:rsidR="004F709B" w:rsidRPr="00F740BB" w:rsidRDefault="000F5A4D" w:rsidP="00F01D2F">
            <w:pPr>
              <w:spacing w:before="120" w:after="120"/>
              <w:rPr>
                <w:lang w:val="en-CA"/>
              </w:rPr>
            </w:pPr>
            <w:hyperlink r:id="rId8" w:history="1">
              <w:r w:rsidR="00F01D2F" w:rsidRPr="00F740BB">
                <w:rPr>
                  <w:rStyle w:val="Hyperlink"/>
                  <w:lang w:val="en-CA"/>
                </w:rPr>
                <w:t>APPF29/RES/07</w:t>
              </w:r>
            </w:hyperlink>
            <w:r w:rsidR="00375E18" w:rsidRPr="00F740BB">
              <w:rPr>
                <w:lang w:val="en-CA"/>
              </w:rPr>
              <w:t xml:space="preserve"> – </w:t>
            </w:r>
            <w:r w:rsidR="00F01D2F" w:rsidRPr="00F740BB">
              <w:rPr>
                <w:lang w:val="en-CA"/>
              </w:rPr>
              <w:t>Resolution on accelerating digital economy and enhancing connectivity</w:t>
            </w:r>
          </w:p>
        </w:tc>
      </w:tr>
      <w:tr w:rsidR="004F709B" w:rsidRPr="00F740BB" w14:paraId="19F9239A" w14:textId="77777777" w:rsidTr="00E50BFA">
        <w:tc>
          <w:tcPr>
            <w:tcW w:w="2376" w:type="dxa"/>
            <w:shd w:val="clear" w:color="auto" w:fill="BFBFBF" w:themeFill="background1" w:themeFillShade="BF"/>
          </w:tcPr>
          <w:p w14:paraId="5E404EB6" w14:textId="7289547E" w:rsidR="004F709B" w:rsidRPr="00F740BB" w:rsidRDefault="004F709B" w:rsidP="00E50BFA">
            <w:pPr>
              <w:spacing w:before="120" w:after="120"/>
              <w:rPr>
                <w:b/>
                <w:lang w:val="en-CA"/>
              </w:rPr>
            </w:pPr>
            <w:r w:rsidRPr="00F740BB">
              <w:rPr>
                <w:b/>
                <w:lang w:val="en-CA"/>
              </w:rPr>
              <w:t>Sponsoring country/countries</w:t>
            </w:r>
            <w:r w:rsidR="00375E18" w:rsidRPr="00F740BB">
              <w:rPr>
                <w:b/>
                <w:lang w:val="en-CA"/>
              </w:rPr>
              <w:t xml:space="preserve">: </w:t>
            </w:r>
          </w:p>
        </w:tc>
        <w:tc>
          <w:tcPr>
            <w:tcW w:w="6866" w:type="dxa"/>
          </w:tcPr>
          <w:p w14:paraId="6418797A" w14:textId="52F4F6F4" w:rsidR="004F709B" w:rsidRPr="00F740BB" w:rsidRDefault="003175CA" w:rsidP="00E50BFA">
            <w:pPr>
              <w:spacing w:before="120" w:after="120"/>
              <w:rPr>
                <w:lang w:val="en-CA"/>
              </w:rPr>
            </w:pPr>
            <w:r w:rsidRPr="00F740BB">
              <w:rPr>
                <w:lang w:val="en-CA"/>
              </w:rPr>
              <w:t xml:space="preserve">Republic of Korea, Australia, Canada, Indonesia, Mexico, </w:t>
            </w:r>
            <w:r w:rsidR="00B87F6C" w:rsidRPr="00F740BB">
              <w:rPr>
                <w:lang w:val="en-CA"/>
              </w:rPr>
              <w:br/>
            </w:r>
            <w:r w:rsidRPr="00F740BB">
              <w:rPr>
                <w:lang w:val="en-CA"/>
              </w:rPr>
              <w:t xml:space="preserve">the Philippines, </w:t>
            </w:r>
            <w:r w:rsidR="007017F1" w:rsidRPr="00F740BB">
              <w:rPr>
                <w:lang w:val="en-CA"/>
              </w:rPr>
              <w:t xml:space="preserve">the </w:t>
            </w:r>
            <w:r w:rsidRPr="00F740BB">
              <w:rPr>
                <w:lang w:val="en-CA"/>
              </w:rPr>
              <w:t>Russian Federation and Viet</w:t>
            </w:r>
            <w:r w:rsidR="006A4105" w:rsidRPr="00F740BB">
              <w:rPr>
                <w:lang w:val="en-CA"/>
              </w:rPr>
              <w:t>n</w:t>
            </w:r>
            <w:r w:rsidRPr="00F740BB">
              <w:rPr>
                <w:lang w:val="en-CA"/>
              </w:rPr>
              <w:t>am</w:t>
            </w:r>
          </w:p>
        </w:tc>
      </w:tr>
      <w:tr w:rsidR="004F709B" w:rsidRPr="00F740BB" w14:paraId="6F25E46E" w14:textId="77777777" w:rsidTr="00E50BFA">
        <w:tc>
          <w:tcPr>
            <w:tcW w:w="2376" w:type="dxa"/>
            <w:shd w:val="clear" w:color="auto" w:fill="BFBFBF" w:themeFill="background1" w:themeFillShade="BF"/>
          </w:tcPr>
          <w:p w14:paraId="05D77C1A" w14:textId="2977CE05" w:rsidR="004F709B" w:rsidRPr="00F740BB" w:rsidRDefault="004F709B" w:rsidP="00E50BFA">
            <w:pPr>
              <w:spacing w:before="120" w:after="120"/>
              <w:rPr>
                <w:b/>
                <w:lang w:val="en-CA"/>
              </w:rPr>
            </w:pPr>
            <w:r w:rsidRPr="00F740BB">
              <w:rPr>
                <w:b/>
                <w:lang w:val="en-CA"/>
              </w:rPr>
              <w:t>Summary</w:t>
            </w:r>
            <w:r w:rsidR="00375E18" w:rsidRPr="00F740BB">
              <w:rPr>
                <w:b/>
                <w:lang w:val="en-CA"/>
              </w:rPr>
              <w:t xml:space="preserve">: </w:t>
            </w:r>
          </w:p>
        </w:tc>
        <w:tc>
          <w:tcPr>
            <w:tcW w:w="6866" w:type="dxa"/>
          </w:tcPr>
          <w:p w14:paraId="1869B910" w14:textId="77777777" w:rsidR="004F709B" w:rsidRPr="00F740BB" w:rsidRDefault="004F709B" w:rsidP="00E50BFA">
            <w:pPr>
              <w:spacing w:before="120" w:after="120"/>
              <w:rPr>
                <w:lang w:val="en-CA"/>
              </w:rPr>
            </w:pPr>
          </w:p>
          <w:p w14:paraId="2AED5D6D" w14:textId="77777777" w:rsidR="004F709B" w:rsidRPr="00F740BB" w:rsidRDefault="004F709B" w:rsidP="00E50BFA">
            <w:pPr>
              <w:spacing w:before="120" w:after="120"/>
              <w:rPr>
                <w:lang w:val="en-CA"/>
              </w:rPr>
            </w:pPr>
          </w:p>
        </w:tc>
      </w:tr>
    </w:tbl>
    <w:p w14:paraId="1BB934E4" w14:textId="77777777" w:rsidR="004F709B" w:rsidRPr="00F740BB" w:rsidRDefault="004F709B" w:rsidP="004F709B">
      <w:pPr>
        <w:rPr>
          <w:lang w:val="en-CA"/>
        </w:rPr>
        <w:sectPr w:rsidR="004F709B" w:rsidRPr="00F740B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2B2EDC15" w14:textId="77777777" w:rsidR="004F709B" w:rsidRPr="00F740BB" w:rsidRDefault="004F709B" w:rsidP="004F709B">
      <w:pPr>
        <w:pStyle w:val="Heading2"/>
        <w:rPr>
          <w:lang w:val="en-CA"/>
        </w:rPr>
      </w:pPr>
      <w:r w:rsidRPr="00F740BB">
        <w:rPr>
          <w:lang w:val="en-CA"/>
        </w:rPr>
        <w:t>Detailed response to resolutions</w:t>
      </w:r>
    </w:p>
    <w:p w14:paraId="3FBDCF85" w14:textId="6B5D49CE" w:rsidR="004F709B" w:rsidRPr="00F740BB" w:rsidRDefault="004F709B" w:rsidP="004F709B">
      <w:pPr>
        <w:rPr>
          <w:lang w:val="en-CA"/>
        </w:rPr>
      </w:pPr>
      <w:r w:rsidRPr="00F740BB">
        <w:rPr>
          <w:lang w:val="en-CA"/>
        </w:rPr>
        <w:t xml:space="preserve">At the </w:t>
      </w:r>
      <w:r w:rsidR="00207FAB" w:rsidRPr="00F740BB">
        <w:rPr>
          <w:lang w:val="en-CA"/>
        </w:rPr>
        <w:t>2</w:t>
      </w:r>
      <w:r w:rsidR="009732D9" w:rsidRPr="00F740BB">
        <w:rPr>
          <w:lang w:val="en-CA"/>
        </w:rPr>
        <w:t>9</w:t>
      </w:r>
      <w:r w:rsidR="009732D9" w:rsidRPr="00F740BB">
        <w:rPr>
          <w:vertAlign w:val="superscript"/>
          <w:lang w:val="en-CA"/>
        </w:rPr>
        <w:t>th</w:t>
      </w:r>
      <w:r w:rsidRPr="00F740BB">
        <w:rPr>
          <w:lang w:val="en-CA"/>
        </w:rPr>
        <w:t xml:space="preserve"> Annual Meeting of the Asia</w:t>
      </w:r>
      <w:r w:rsidR="007B3065" w:rsidRPr="00F740BB">
        <w:rPr>
          <w:lang w:val="en-CA"/>
        </w:rPr>
        <w:t>-</w:t>
      </w:r>
      <w:r w:rsidRPr="00F740BB">
        <w:rPr>
          <w:lang w:val="en-CA"/>
        </w:rPr>
        <w:t>Pacific Parliamentary Forum</w:t>
      </w:r>
      <w:r w:rsidR="008F43C8">
        <w:rPr>
          <w:lang w:val="en-CA"/>
        </w:rPr>
        <w:t xml:space="preserve"> (APPF)</w:t>
      </w:r>
      <w:r w:rsidRPr="00F740BB">
        <w:rPr>
          <w:lang w:val="en-CA"/>
        </w:rPr>
        <w:t>, the parliamentarians of the APPF resolved to</w:t>
      </w:r>
      <w:r w:rsidR="00375E18" w:rsidRPr="00F740BB">
        <w:rPr>
          <w:lang w:val="en-CA"/>
        </w:rPr>
        <w:t xml:space="preserve">: </w:t>
      </w:r>
    </w:p>
    <w:tbl>
      <w:tblPr>
        <w:tblStyle w:val="TableGrid"/>
        <w:tblW w:w="0" w:type="auto"/>
        <w:tblLook w:val="04A0" w:firstRow="1" w:lastRow="0" w:firstColumn="1" w:lastColumn="0" w:noHBand="0" w:noVBand="1"/>
      </w:tblPr>
      <w:tblGrid>
        <w:gridCol w:w="6967"/>
        <w:gridCol w:w="6981"/>
      </w:tblGrid>
      <w:tr w:rsidR="004F709B" w:rsidRPr="00F740BB" w14:paraId="5A8FB950" w14:textId="77777777" w:rsidTr="00816286">
        <w:trPr>
          <w:tblHeader/>
        </w:trPr>
        <w:tc>
          <w:tcPr>
            <w:tcW w:w="0" w:type="auto"/>
            <w:shd w:val="clear" w:color="auto" w:fill="0D0D0D" w:themeFill="text1" w:themeFillTint="F2"/>
          </w:tcPr>
          <w:p w14:paraId="6FCEFC80" w14:textId="77777777" w:rsidR="004F709B" w:rsidRPr="00F740BB" w:rsidRDefault="004F709B" w:rsidP="00E50BFA">
            <w:pPr>
              <w:pStyle w:val="Default"/>
              <w:spacing w:before="120" w:after="120"/>
              <w:rPr>
                <w:rFonts w:ascii="Arial" w:hAnsi="Arial" w:cstheme="minorBidi"/>
                <w:b/>
                <w:color w:val="auto"/>
                <w:sz w:val="22"/>
                <w:szCs w:val="22"/>
                <w:lang w:val="en-CA"/>
              </w:rPr>
            </w:pPr>
            <w:r w:rsidRPr="00F740BB">
              <w:rPr>
                <w:rFonts w:ascii="Arial" w:hAnsi="Arial" w:cstheme="minorBidi"/>
                <w:b/>
                <w:color w:val="auto"/>
                <w:sz w:val="22"/>
                <w:szCs w:val="22"/>
                <w:lang w:val="en-CA"/>
              </w:rPr>
              <w:t>Resolution</w:t>
            </w:r>
          </w:p>
        </w:tc>
        <w:tc>
          <w:tcPr>
            <w:tcW w:w="0" w:type="auto"/>
            <w:shd w:val="clear" w:color="auto" w:fill="0D0D0D" w:themeFill="text1" w:themeFillTint="F2"/>
          </w:tcPr>
          <w:p w14:paraId="72B9BCDF" w14:textId="77777777" w:rsidR="004F709B" w:rsidRPr="00F740BB" w:rsidRDefault="004F709B" w:rsidP="00E50BFA">
            <w:pPr>
              <w:spacing w:before="120" w:after="120"/>
              <w:rPr>
                <w:b/>
                <w:lang w:val="en-CA"/>
              </w:rPr>
            </w:pPr>
            <w:r w:rsidRPr="00F740BB">
              <w:rPr>
                <w:b/>
                <w:lang w:val="en-CA"/>
              </w:rPr>
              <w:t>Status update</w:t>
            </w:r>
          </w:p>
        </w:tc>
      </w:tr>
      <w:tr w:rsidR="004F709B" w:rsidRPr="00F740BB" w14:paraId="4717B5A4" w14:textId="77777777" w:rsidTr="00816286">
        <w:tc>
          <w:tcPr>
            <w:tcW w:w="0" w:type="auto"/>
            <w:shd w:val="clear" w:color="auto" w:fill="F2F2F2" w:themeFill="background1" w:themeFillShade="F2"/>
          </w:tcPr>
          <w:p w14:paraId="3C8FD7EB" w14:textId="48C177A5" w:rsidR="004F709B" w:rsidRPr="00F740BB" w:rsidRDefault="00560064" w:rsidP="00867C16">
            <w:pPr>
              <w:pStyle w:val="Default"/>
              <w:numPr>
                <w:ilvl w:val="0"/>
                <w:numId w:val="1"/>
              </w:numPr>
              <w:spacing w:before="120" w:after="120"/>
              <w:rPr>
                <w:rFonts w:ascii="Arial" w:hAnsi="Arial" w:cstheme="minorBidi"/>
                <w:color w:val="auto"/>
                <w:sz w:val="22"/>
                <w:szCs w:val="22"/>
                <w:lang w:val="en-CA"/>
              </w:rPr>
            </w:pPr>
            <w:r w:rsidRPr="00F740BB">
              <w:rPr>
                <w:b/>
                <w:bCs/>
                <w:lang w:val="en-CA"/>
              </w:rPr>
              <w:t xml:space="preserve">Affirm </w:t>
            </w:r>
            <w:r w:rsidRPr="00F740BB">
              <w:rPr>
                <w:lang w:val="en-CA"/>
              </w:rPr>
              <w:t>the determination of APPF Member Parliaments to maximize their roles to complete the national institutional frameworks in support for further development of digital economy with focus on e-governments, shaping e-ecosystem of trade promotion and managing e-</w:t>
            </w:r>
            <w:r w:rsidR="00867C16" w:rsidRPr="00F740BB">
              <w:rPr>
                <w:lang w:val="en-CA"/>
              </w:rPr>
              <w:t>c</w:t>
            </w:r>
            <w:r w:rsidRPr="00F740BB">
              <w:rPr>
                <w:lang w:val="en-CA"/>
              </w:rPr>
              <w:t>ommerce platforms</w:t>
            </w:r>
            <w:r w:rsidRPr="00F740BB">
              <w:rPr>
                <w:b/>
                <w:bCs/>
                <w:lang w:val="en-CA"/>
              </w:rPr>
              <w:t>;</w:t>
            </w:r>
          </w:p>
        </w:tc>
        <w:tc>
          <w:tcPr>
            <w:tcW w:w="0" w:type="auto"/>
          </w:tcPr>
          <w:p w14:paraId="20EC714D" w14:textId="0954BE57" w:rsidR="001E7664" w:rsidRPr="00F740BB" w:rsidRDefault="007B3065" w:rsidP="00B71B8A">
            <w:pPr>
              <w:spacing w:before="120" w:after="120"/>
              <w:rPr>
                <w:lang w:val="en-CA"/>
              </w:rPr>
            </w:pPr>
            <w:r w:rsidRPr="00F740BB">
              <w:rPr>
                <w:lang w:val="en-CA"/>
              </w:rPr>
              <w:t>In Canada</w:t>
            </w:r>
            <w:r w:rsidR="00375E18" w:rsidRPr="00F740BB">
              <w:rPr>
                <w:lang w:val="en-CA"/>
              </w:rPr>
              <w:t>’</w:t>
            </w:r>
            <w:r w:rsidRPr="00F740BB">
              <w:rPr>
                <w:lang w:val="en-CA"/>
              </w:rPr>
              <w:t>s Parliament, various c</w:t>
            </w:r>
            <w:r w:rsidR="00B456A2" w:rsidRPr="00F740BB">
              <w:rPr>
                <w:lang w:val="en-CA"/>
              </w:rPr>
              <w:t xml:space="preserve">ommittees </w:t>
            </w:r>
            <w:r w:rsidRPr="00F740BB">
              <w:rPr>
                <w:lang w:val="en-CA"/>
              </w:rPr>
              <w:t xml:space="preserve">have examined issues relating to e-commerce. For example, </w:t>
            </w:r>
            <w:r w:rsidR="0052522B" w:rsidRPr="00F740BB">
              <w:rPr>
                <w:lang w:val="en-CA"/>
              </w:rPr>
              <w:t xml:space="preserve">in 2012, </w:t>
            </w:r>
            <w:r w:rsidR="00B456A2" w:rsidRPr="00F740BB">
              <w:rPr>
                <w:lang w:val="en-CA"/>
              </w:rPr>
              <w:t xml:space="preserve">the </w:t>
            </w:r>
            <w:r w:rsidR="002E4938" w:rsidRPr="00F740BB">
              <w:rPr>
                <w:lang w:val="en-CA"/>
              </w:rPr>
              <w:t xml:space="preserve">House of Commons </w:t>
            </w:r>
            <w:r w:rsidR="00051CC9" w:rsidRPr="00F740BB">
              <w:rPr>
                <w:lang w:val="en-CA"/>
              </w:rPr>
              <w:t xml:space="preserve">Standing Committee on Industry, Science and Technology </w:t>
            </w:r>
            <w:r w:rsidR="00BF57C6" w:rsidRPr="00F740BB">
              <w:rPr>
                <w:lang w:val="en-CA"/>
              </w:rPr>
              <w:t>pre</w:t>
            </w:r>
            <w:r w:rsidR="0052522B" w:rsidRPr="00F740BB">
              <w:rPr>
                <w:lang w:val="en-CA"/>
              </w:rPr>
              <w:t>pared</w:t>
            </w:r>
            <w:r w:rsidR="00BA6522" w:rsidRPr="00F740BB">
              <w:rPr>
                <w:lang w:val="en-CA"/>
              </w:rPr>
              <w:t xml:space="preserve"> </w:t>
            </w:r>
            <w:r w:rsidR="002C3EB8" w:rsidRPr="00F740BB">
              <w:rPr>
                <w:lang w:val="en-CA"/>
              </w:rPr>
              <w:t xml:space="preserve">a </w:t>
            </w:r>
            <w:hyperlink r:id="rId15" w:history="1">
              <w:r w:rsidR="002C3EB8" w:rsidRPr="00F740BB">
                <w:rPr>
                  <w:rStyle w:val="Hyperlink"/>
                  <w:lang w:val="en-CA"/>
                </w:rPr>
                <w:t>report</w:t>
              </w:r>
            </w:hyperlink>
            <w:r w:rsidR="002C3EB8" w:rsidRPr="00F740BB">
              <w:rPr>
                <w:lang w:val="en-CA"/>
              </w:rPr>
              <w:t xml:space="preserve"> </w:t>
            </w:r>
            <w:r w:rsidR="00BA6522" w:rsidRPr="00F740BB">
              <w:rPr>
                <w:lang w:val="en-CA"/>
              </w:rPr>
              <w:t>that</w:t>
            </w:r>
            <w:r w:rsidR="002C3EB8" w:rsidRPr="00F740BB">
              <w:rPr>
                <w:lang w:val="en-CA"/>
              </w:rPr>
              <w:t xml:space="preserve"> </w:t>
            </w:r>
            <w:r w:rsidR="00375E18" w:rsidRPr="00F740BB">
              <w:rPr>
                <w:lang w:val="en-CA"/>
              </w:rPr>
              <w:t>“</w:t>
            </w:r>
            <w:r w:rsidR="002C3EB8" w:rsidRPr="00F740BB">
              <w:rPr>
                <w:lang w:val="en-CA"/>
              </w:rPr>
              <w:t>identifies the key challenges and the existing core strengths of the e-commerce market in Canada,</w:t>
            </w:r>
            <w:r w:rsidR="00375E18" w:rsidRPr="00F740BB">
              <w:rPr>
                <w:lang w:val="en-CA"/>
              </w:rPr>
              <w:t>”</w:t>
            </w:r>
            <w:r w:rsidR="0052522B" w:rsidRPr="00F740BB">
              <w:rPr>
                <w:lang w:val="en-CA"/>
              </w:rPr>
              <w:t xml:space="preserve"> and that</w:t>
            </w:r>
            <w:r w:rsidR="002C3EB8" w:rsidRPr="00F740BB">
              <w:rPr>
                <w:lang w:val="en-CA"/>
              </w:rPr>
              <w:t xml:space="preserve"> </w:t>
            </w:r>
            <w:r w:rsidR="0052522B" w:rsidRPr="00F740BB">
              <w:rPr>
                <w:lang w:val="en-CA"/>
              </w:rPr>
              <w:t xml:space="preserve">contains </w:t>
            </w:r>
            <w:r w:rsidR="002C3EB8" w:rsidRPr="00F740BB">
              <w:rPr>
                <w:lang w:val="en-CA"/>
              </w:rPr>
              <w:t xml:space="preserve">recommendations </w:t>
            </w:r>
            <w:r w:rsidR="00D23AD2" w:rsidRPr="00F740BB">
              <w:rPr>
                <w:lang w:val="en-CA"/>
              </w:rPr>
              <w:t>for</w:t>
            </w:r>
            <w:r w:rsidR="002C3EB8" w:rsidRPr="00F740BB">
              <w:rPr>
                <w:lang w:val="en-CA"/>
              </w:rPr>
              <w:t xml:space="preserve"> address</w:t>
            </w:r>
            <w:r w:rsidR="0052522B" w:rsidRPr="00F740BB">
              <w:rPr>
                <w:lang w:val="en-CA"/>
              </w:rPr>
              <w:t>ing</w:t>
            </w:r>
            <w:r w:rsidR="002C3EB8" w:rsidRPr="00F740BB">
              <w:rPr>
                <w:lang w:val="en-CA"/>
              </w:rPr>
              <w:t xml:space="preserve"> some of the challenges</w:t>
            </w:r>
            <w:r w:rsidR="0052522B" w:rsidRPr="00F740BB">
              <w:rPr>
                <w:lang w:val="en-CA"/>
              </w:rPr>
              <w:t>. I</w:t>
            </w:r>
            <w:r w:rsidR="00BA6522" w:rsidRPr="00F740BB">
              <w:rPr>
                <w:lang w:val="en-CA"/>
              </w:rPr>
              <w:t xml:space="preserve">n 2018, </w:t>
            </w:r>
            <w:r w:rsidR="0052522B" w:rsidRPr="00F740BB">
              <w:rPr>
                <w:lang w:val="en-CA"/>
              </w:rPr>
              <w:t xml:space="preserve">that Committee prepared a report on the topic of </w:t>
            </w:r>
            <w:hyperlink r:id="rId16" w:history="1">
              <w:r w:rsidR="0052522B" w:rsidRPr="00F740BB">
                <w:rPr>
                  <w:rStyle w:val="Hyperlink"/>
                  <w:lang w:val="en-CA"/>
                </w:rPr>
                <w:t>b</w:t>
              </w:r>
              <w:r w:rsidR="00BA6522" w:rsidRPr="00F740BB">
                <w:rPr>
                  <w:rStyle w:val="Hyperlink"/>
                  <w:lang w:val="en-CA"/>
                </w:rPr>
                <w:t xml:space="preserve">roadband </w:t>
              </w:r>
              <w:r w:rsidR="0052522B" w:rsidRPr="00F740BB">
                <w:rPr>
                  <w:rStyle w:val="Hyperlink"/>
                  <w:lang w:val="en-CA"/>
                </w:rPr>
                <w:t>c</w:t>
              </w:r>
              <w:r w:rsidR="00BA6522" w:rsidRPr="00F740BB">
                <w:rPr>
                  <w:rStyle w:val="Hyperlink"/>
                  <w:lang w:val="en-CA"/>
                </w:rPr>
                <w:t xml:space="preserve">onnectivity in </w:t>
              </w:r>
              <w:r w:rsidR="0052522B" w:rsidRPr="00F740BB">
                <w:rPr>
                  <w:rStyle w:val="Hyperlink"/>
                  <w:lang w:val="en-CA"/>
                </w:rPr>
                <w:t>r</w:t>
              </w:r>
              <w:r w:rsidR="00BA6522" w:rsidRPr="00F740BB">
                <w:rPr>
                  <w:rStyle w:val="Hyperlink"/>
                  <w:lang w:val="en-CA"/>
                </w:rPr>
                <w:t>ural Canada</w:t>
              </w:r>
            </w:hyperlink>
            <w:r w:rsidR="00BA6522" w:rsidRPr="00F740BB">
              <w:rPr>
                <w:lang w:val="en-CA"/>
              </w:rPr>
              <w:t xml:space="preserve">. Also in </w:t>
            </w:r>
            <w:r w:rsidR="009C4872" w:rsidRPr="00F740BB">
              <w:rPr>
                <w:lang w:val="en-CA"/>
              </w:rPr>
              <w:t>2018,</w:t>
            </w:r>
            <w:r w:rsidR="004B3CCA" w:rsidRPr="00F740BB">
              <w:rPr>
                <w:lang w:val="en-CA"/>
              </w:rPr>
              <w:t xml:space="preserve"> </w:t>
            </w:r>
            <w:r w:rsidR="009C4872" w:rsidRPr="00F740BB">
              <w:rPr>
                <w:lang w:val="en-CA"/>
              </w:rPr>
              <w:t xml:space="preserve">the </w:t>
            </w:r>
            <w:r w:rsidR="0052522B" w:rsidRPr="00F740BB">
              <w:rPr>
                <w:lang w:val="en-CA"/>
              </w:rPr>
              <w:t xml:space="preserve">House of Commons </w:t>
            </w:r>
            <w:r w:rsidR="009C4872" w:rsidRPr="00F740BB">
              <w:rPr>
                <w:lang w:val="en-CA"/>
              </w:rPr>
              <w:t xml:space="preserve">Standing Committee on International Trade </w:t>
            </w:r>
            <w:r w:rsidR="009F6307" w:rsidRPr="00F740BB">
              <w:rPr>
                <w:lang w:val="en-CA"/>
              </w:rPr>
              <w:t>co</w:t>
            </w:r>
            <w:r w:rsidR="0052522B" w:rsidRPr="00F740BB">
              <w:rPr>
                <w:lang w:val="en-CA"/>
              </w:rPr>
              <w:t>mpleted a</w:t>
            </w:r>
            <w:r w:rsidR="009F6307" w:rsidRPr="00F740BB">
              <w:rPr>
                <w:lang w:val="en-CA"/>
              </w:rPr>
              <w:t xml:space="preserve"> </w:t>
            </w:r>
            <w:hyperlink r:id="rId17" w:history="1">
              <w:r w:rsidR="009F6307" w:rsidRPr="00F740BB">
                <w:rPr>
                  <w:rStyle w:val="Hyperlink"/>
                  <w:lang w:val="en-CA"/>
                </w:rPr>
                <w:t>study</w:t>
              </w:r>
            </w:hyperlink>
            <w:r w:rsidR="009F6307" w:rsidRPr="00F740BB">
              <w:rPr>
                <w:lang w:val="en-CA"/>
              </w:rPr>
              <w:t xml:space="preserve"> that examined taxation, legislative and regulatory requirements </w:t>
            </w:r>
            <w:r w:rsidR="0052522B" w:rsidRPr="00F740BB">
              <w:rPr>
                <w:lang w:val="en-CA"/>
              </w:rPr>
              <w:t>in relation to</w:t>
            </w:r>
            <w:r w:rsidR="009F6307" w:rsidRPr="00F740BB">
              <w:rPr>
                <w:lang w:val="en-CA"/>
              </w:rPr>
              <w:t xml:space="preserve"> e-commerce</w:t>
            </w:r>
            <w:r w:rsidR="00D23AD2" w:rsidRPr="00F740BB">
              <w:rPr>
                <w:lang w:val="en-CA"/>
              </w:rPr>
              <w:t>; the study also</w:t>
            </w:r>
            <w:r w:rsidR="006A4105" w:rsidRPr="00F740BB">
              <w:rPr>
                <w:lang w:val="en-CA"/>
              </w:rPr>
              <w:t xml:space="preserve"> </w:t>
            </w:r>
            <w:r w:rsidR="0052522B" w:rsidRPr="00F740BB">
              <w:rPr>
                <w:lang w:val="en-CA"/>
              </w:rPr>
              <w:t xml:space="preserve">identified </w:t>
            </w:r>
            <w:r w:rsidR="00EC1135" w:rsidRPr="00F740BB">
              <w:rPr>
                <w:lang w:val="en-CA"/>
              </w:rPr>
              <w:t>federal measures to support the e-commerce activities of Canada</w:t>
            </w:r>
            <w:r w:rsidR="00375E18" w:rsidRPr="00F740BB">
              <w:rPr>
                <w:lang w:val="en-CA"/>
              </w:rPr>
              <w:t>’</w:t>
            </w:r>
            <w:r w:rsidR="00EC1135" w:rsidRPr="00F740BB">
              <w:rPr>
                <w:lang w:val="en-CA"/>
              </w:rPr>
              <w:t xml:space="preserve">s </w:t>
            </w:r>
            <w:r w:rsidR="00A02089" w:rsidRPr="00F740BB">
              <w:rPr>
                <w:lang w:val="en-CA"/>
              </w:rPr>
              <w:t>firms</w:t>
            </w:r>
            <w:r w:rsidR="0052522B" w:rsidRPr="00F740BB">
              <w:rPr>
                <w:lang w:val="en-CA"/>
              </w:rPr>
              <w:t>,</w:t>
            </w:r>
            <w:r w:rsidR="00EC1135" w:rsidRPr="00F740BB">
              <w:rPr>
                <w:lang w:val="en-CA"/>
              </w:rPr>
              <w:t xml:space="preserve"> as well as access to digital technologies and digital skills in Canada</w:t>
            </w:r>
            <w:r w:rsidR="009C4872" w:rsidRPr="00F740BB">
              <w:rPr>
                <w:lang w:val="en-CA"/>
              </w:rPr>
              <w:t>.</w:t>
            </w:r>
            <w:r w:rsidR="00B456A2" w:rsidRPr="00F740BB">
              <w:rPr>
                <w:lang w:val="en-CA"/>
              </w:rPr>
              <w:t xml:space="preserve"> </w:t>
            </w:r>
            <w:r w:rsidR="0052522B" w:rsidRPr="00F740BB">
              <w:rPr>
                <w:lang w:val="en-CA"/>
              </w:rPr>
              <w:t>Most recently</w:t>
            </w:r>
            <w:r w:rsidR="005214AB" w:rsidRPr="00F740BB">
              <w:rPr>
                <w:lang w:val="en-CA"/>
              </w:rPr>
              <w:t xml:space="preserve">, in 2021, the </w:t>
            </w:r>
            <w:r w:rsidR="0052522B" w:rsidRPr="00F740BB">
              <w:rPr>
                <w:lang w:val="en-CA"/>
              </w:rPr>
              <w:t xml:space="preserve">House of Commons </w:t>
            </w:r>
            <w:r w:rsidR="005214AB" w:rsidRPr="00F740BB">
              <w:rPr>
                <w:lang w:val="en-CA"/>
              </w:rPr>
              <w:t xml:space="preserve">Standing Committee on Public Accounts </w:t>
            </w:r>
            <w:hyperlink r:id="rId18" w:history="1">
              <w:r w:rsidR="005214AB" w:rsidRPr="00F740BB">
                <w:rPr>
                  <w:rStyle w:val="Hyperlink"/>
                  <w:lang w:val="en-CA"/>
                </w:rPr>
                <w:t>examined</w:t>
              </w:r>
            </w:hyperlink>
            <w:r w:rsidR="005214AB" w:rsidRPr="00F740BB">
              <w:rPr>
                <w:lang w:val="en-CA"/>
              </w:rPr>
              <w:t xml:space="preserve"> the taxation of e-commerce.</w:t>
            </w:r>
          </w:p>
          <w:p w14:paraId="755B3546" w14:textId="3287A459" w:rsidR="00AB428C" w:rsidRPr="00F740BB" w:rsidRDefault="002E3AB4" w:rsidP="00B71B8A">
            <w:pPr>
              <w:spacing w:before="120" w:after="120"/>
              <w:rPr>
                <w:lang w:val="en-CA"/>
              </w:rPr>
            </w:pPr>
            <w:r w:rsidRPr="00F740BB">
              <w:rPr>
                <w:lang w:val="en-CA"/>
              </w:rPr>
              <w:t>I</w:t>
            </w:r>
            <w:r w:rsidR="00AB428C" w:rsidRPr="00F740BB">
              <w:rPr>
                <w:lang w:val="en-CA"/>
              </w:rPr>
              <w:t xml:space="preserve">n February 2022, </w:t>
            </w:r>
            <w:r w:rsidR="00165E27" w:rsidRPr="00F740BB">
              <w:rPr>
                <w:lang w:val="en-CA"/>
              </w:rPr>
              <w:t>t</w:t>
            </w:r>
            <w:r w:rsidR="00AB428C" w:rsidRPr="00F740BB">
              <w:rPr>
                <w:lang w:val="en-CA"/>
              </w:rPr>
              <w:t xml:space="preserve">he </w:t>
            </w:r>
            <w:r w:rsidR="008B6DB1" w:rsidRPr="00F740BB">
              <w:rPr>
                <w:lang w:val="en-CA"/>
              </w:rPr>
              <w:t>G</w:t>
            </w:r>
            <w:r w:rsidR="00AB428C" w:rsidRPr="00F740BB">
              <w:rPr>
                <w:lang w:val="en-CA"/>
              </w:rPr>
              <w:t xml:space="preserve">overnment </w:t>
            </w:r>
            <w:r w:rsidR="008B6DB1" w:rsidRPr="00F740BB">
              <w:rPr>
                <w:lang w:val="en-CA"/>
              </w:rPr>
              <w:t>of Canada</w:t>
            </w:r>
            <w:r w:rsidR="00AB428C" w:rsidRPr="00F740BB">
              <w:rPr>
                <w:lang w:val="en-CA"/>
              </w:rPr>
              <w:t xml:space="preserve"> introduced </w:t>
            </w:r>
            <w:hyperlink r:id="rId19" w:history="1">
              <w:r w:rsidR="00AB428C" w:rsidRPr="00F740BB">
                <w:rPr>
                  <w:rStyle w:val="Hyperlink"/>
                  <w:lang w:val="en-CA"/>
                </w:rPr>
                <w:t>Bill C-11</w:t>
              </w:r>
              <w:r w:rsidR="008B6DB1" w:rsidRPr="00F740BB">
                <w:rPr>
                  <w:rStyle w:val="Hyperlink"/>
                  <w:lang w:val="en-CA"/>
                </w:rPr>
                <w:t>,</w:t>
              </w:r>
              <w:r w:rsidR="00AB428C" w:rsidRPr="00F740BB">
                <w:rPr>
                  <w:rStyle w:val="Hyperlink"/>
                  <w:lang w:val="en-CA"/>
                </w:rPr>
                <w:t xml:space="preserve"> Online Streaming Act</w:t>
              </w:r>
            </w:hyperlink>
            <w:r w:rsidR="00165E27" w:rsidRPr="00F740BB">
              <w:rPr>
                <w:lang w:val="en-CA"/>
              </w:rPr>
              <w:t xml:space="preserve"> </w:t>
            </w:r>
            <w:r w:rsidR="008B6DB1" w:rsidRPr="00F740BB">
              <w:rPr>
                <w:lang w:val="en-CA"/>
              </w:rPr>
              <w:t xml:space="preserve">(short title). </w:t>
            </w:r>
            <w:r w:rsidR="00165E27" w:rsidRPr="00F740BB">
              <w:rPr>
                <w:lang w:val="en-CA"/>
              </w:rPr>
              <w:t xml:space="preserve">The </w:t>
            </w:r>
            <w:r w:rsidR="00AB428C" w:rsidRPr="00F740BB">
              <w:rPr>
                <w:lang w:val="en-CA"/>
              </w:rPr>
              <w:t xml:space="preserve">bill </w:t>
            </w:r>
            <w:r w:rsidR="008B6DB1" w:rsidRPr="00F740BB">
              <w:rPr>
                <w:lang w:val="en-CA"/>
              </w:rPr>
              <w:t>would amend</w:t>
            </w:r>
            <w:r w:rsidR="00165E27" w:rsidRPr="00F740BB">
              <w:rPr>
                <w:lang w:val="en-CA"/>
              </w:rPr>
              <w:t xml:space="preserve"> the </w:t>
            </w:r>
            <w:r w:rsidR="00165E27" w:rsidRPr="00F740BB">
              <w:rPr>
                <w:i/>
                <w:iCs/>
                <w:lang w:val="en-CA"/>
              </w:rPr>
              <w:t>Broadcasting Act</w:t>
            </w:r>
            <w:r w:rsidR="00165E27" w:rsidRPr="00F740BB">
              <w:rPr>
                <w:lang w:val="en-CA"/>
              </w:rPr>
              <w:t xml:space="preserve"> to bring online undertakings, such as video streaming services, within its scope</w:t>
            </w:r>
            <w:r w:rsidR="00AB428C" w:rsidRPr="00F740BB">
              <w:rPr>
                <w:lang w:val="en-CA"/>
              </w:rPr>
              <w:t xml:space="preserve">. </w:t>
            </w:r>
            <w:r w:rsidR="008B6DB1" w:rsidRPr="00F740BB">
              <w:rPr>
                <w:lang w:val="en-CA"/>
              </w:rPr>
              <w:t>As of 11 August 2022, t</w:t>
            </w:r>
            <w:r w:rsidR="00AB428C" w:rsidRPr="00F740BB">
              <w:rPr>
                <w:lang w:val="en-CA"/>
              </w:rPr>
              <w:t>he bill ha</w:t>
            </w:r>
            <w:r w:rsidR="008B6DB1" w:rsidRPr="00F740BB">
              <w:rPr>
                <w:lang w:val="en-CA"/>
              </w:rPr>
              <w:t>d</w:t>
            </w:r>
            <w:r w:rsidR="00AB428C" w:rsidRPr="00F740BB">
              <w:rPr>
                <w:lang w:val="en-CA"/>
              </w:rPr>
              <w:t xml:space="preserve"> been examined by the House of Commons Standing Committee on Canadian Heritage</w:t>
            </w:r>
            <w:r w:rsidR="008B6DB1" w:rsidRPr="00F740BB">
              <w:rPr>
                <w:lang w:val="en-CA"/>
              </w:rPr>
              <w:t>,</w:t>
            </w:r>
            <w:r w:rsidR="00AB428C" w:rsidRPr="00F740BB">
              <w:rPr>
                <w:lang w:val="en-CA"/>
              </w:rPr>
              <w:t xml:space="preserve"> and </w:t>
            </w:r>
            <w:r w:rsidR="008B6DB1" w:rsidRPr="00F740BB">
              <w:rPr>
                <w:lang w:val="en-CA"/>
              </w:rPr>
              <w:t>was</w:t>
            </w:r>
            <w:r w:rsidR="00AB428C" w:rsidRPr="00F740BB">
              <w:rPr>
                <w:lang w:val="en-CA"/>
              </w:rPr>
              <w:t xml:space="preserve"> being </w:t>
            </w:r>
            <w:r w:rsidR="00D23AD2" w:rsidRPr="00F740BB">
              <w:rPr>
                <w:lang w:val="en-CA"/>
              </w:rPr>
              <w:t>studied</w:t>
            </w:r>
            <w:r w:rsidR="00AB428C" w:rsidRPr="00F740BB">
              <w:rPr>
                <w:lang w:val="en-CA"/>
              </w:rPr>
              <w:t xml:space="preserve"> by the Standing Senate Committee on Transport and Communications.</w:t>
            </w:r>
          </w:p>
        </w:tc>
      </w:tr>
      <w:tr w:rsidR="004F709B" w:rsidRPr="00F740BB" w14:paraId="60995679" w14:textId="77777777" w:rsidTr="00165E27">
        <w:trPr>
          <w:trHeight w:val="3173"/>
        </w:trPr>
        <w:tc>
          <w:tcPr>
            <w:tcW w:w="0" w:type="auto"/>
            <w:shd w:val="clear" w:color="auto" w:fill="F2F2F2" w:themeFill="background1" w:themeFillShade="F2"/>
          </w:tcPr>
          <w:p w14:paraId="73A02E1D" w14:textId="6AD6B358" w:rsidR="004F709B" w:rsidRPr="00F740BB" w:rsidRDefault="009B3140" w:rsidP="00F740BB">
            <w:pPr>
              <w:pStyle w:val="Default"/>
              <w:numPr>
                <w:ilvl w:val="0"/>
                <w:numId w:val="1"/>
              </w:numPr>
              <w:spacing w:before="120" w:after="120" w:line="235" w:lineRule="auto"/>
              <w:rPr>
                <w:rFonts w:ascii="Arial" w:hAnsi="Arial" w:cstheme="minorBidi"/>
                <w:color w:val="auto"/>
                <w:sz w:val="22"/>
                <w:szCs w:val="22"/>
                <w:lang w:val="en-CA"/>
              </w:rPr>
            </w:pPr>
            <w:r w:rsidRPr="00F740BB">
              <w:rPr>
                <w:b/>
                <w:bCs/>
                <w:lang w:val="en-CA"/>
              </w:rPr>
              <w:t xml:space="preserve">Encourage </w:t>
            </w:r>
            <w:r w:rsidRPr="00F740BB">
              <w:rPr>
                <w:lang w:val="en-CA"/>
              </w:rPr>
              <w:t>APPF Member Countries, as measures to overcome the economic crisis caused by COVID-19, to establish national policies and regulations and expand government investment in supporting MSMEs</w:t>
            </w:r>
            <w:r w:rsidR="00375E18" w:rsidRPr="00F740BB">
              <w:rPr>
                <w:lang w:val="en-CA"/>
              </w:rPr>
              <w:t>’</w:t>
            </w:r>
            <w:r w:rsidRPr="00F740BB">
              <w:rPr>
                <w:lang w:val="en-CA"/>
              </w:rPr>
              <w:t xml:space="preserve"> digital transition, creating jobs in emerging digital industries, and accelerating the growth of digital economy, and share experiences to facilitate dialogues and engagement in the development of FinTech regulatory sandboxes with better understanding of related risks and barriers</w:t>
            </w:r>
            <w:r w:rsidR="00353573" w:rsidRPr="00F740BB">
              <w:rPr>
                <w:lang w:val="en-CA"/>
              </w:rPr>
              <w:t>;</w:t>
            </w:r>
          </w:p>
        </w:tc>
        <w:tc>
          <w:tcPr>
            <w:tcW w:w="0" w:type="auto"/>
          </w:tcPr>
          <w:p w14:paraId="22F25F06" w14:textId="28F0A16A" w:rsidR="001279DF" w:rsidRPr="00F740BB" w:rsidRDefault="00CC355D" w:rsidP="00F740BB">
            <w:pPr>
              <w:spacing w:line="235" w:lineRule="auto"/>
              <w:rPr>
                <w:lang w:val="en-CA"/>
              </w:rPr>
            </w:pPr>
            <w:r w:rsidRPr="00F740BB">
              <w:rPr>
                <w:lang w:val="en-CA"/>
              </w:rPr>
              <w:t>Since</w:t>
            </w:r>
            <w:r w:rsidR="00AA5300" w:rsidRPr="00F740BB">
              <w:rPr>
                <w:lang w:val="en-CA"/>
              </w:rPr>
              <w:t xml:space="preserve"> 2021, the</w:t>
            </w:r>
            <w:r w:rsidR="008B6DB1" w:rsidRPr="00F740BB">
              <w:rPr>
                <w:lang w:val="en-CA"/>
              </w:rPr>
              <w:t xml:space="preserve"> federal</w:t>
            </w:r>
            <w:r w:rsidR="00AA5300" w:rsidRPr="00F740BB">
              <w:rPr>
                <w:lang w:val="en-CA"/>
              </w:rPr>
              <w:t xml:space="preserve"> </w:t>
            </w:r>
            <w:hyperlink r:id="rId20" w:history="1">
              <w:r w:rsidR="00AA5300" w:rsidRPr="00F740BB">
                <w:rPr>
                  <w:rStyle w:val="Hyperlink"/>
                  <w:lang w:val="en-CA"/>
                </w:rPr>
                <w:t>Canada Digital Adoption Program</w:t>
              </w:r>
            </w:hyperlink>
            <w:r w:rsidR="00AA5300" w:rsidRPr="00F740BB">
              <w:rPr>
                <w:lang w:val="en-CA"/>
              </w:rPr>
              <w:t xml:space="preserve"> </w:t>
            </w:r>
            <w:r w:rsidRPr="00F740BB">
              <w:rPr>
                <w:lang w:val="en-CA"/>
              </w:rPr>
              <w:t xml:space="preserve">has been </w:t>
            </w:r>
            <w:r w:rsidR="00AA5300" w:rsidRPr="00F740BB">
              <w:rPr>
                <w:lang w:val="en-CA"/>
              </w:rPr>
              <w:t>provid</w:t>
            </w:r>
            <w:r w:rsidRPr="00F740BB">
              <w:rPr>
                <w:lang w:val="en-CA"/>
              </w:rPr>
              <w:t>ing</w:t>
            </w:r>
            <w:r w:rsidR="00F34236" w:rsidRPr="00F740BB">
              <w:rPr>
                <w:lang w:val="en-CA"/>
              </w:rPr>
              <w:t xml:space="preserve"> </w:t>
            </w:r>
            <w:r w:rsidR="00D23AD2" w:rsidRPr="00F740BB">
              <w:rPr>
                <w:lang w:val="en-CA"/>
              </w:rPr>
              <w:t xml:space="preserve">two types of </w:t>
            </w:r>
            <w:r w:rsidR="00F34236" w:rsidRPr="00F740BB">
              <w:rPr>
                <w:lang w:val="en-CA"/>
              </w:rPr>
              <w:t xml:space="preserve">grants to support digital transformation in Canadian </w:t>
            </w:r>
            <w:r w:rsidR="008B6DB1" w:rsidRPr="00F740BB">
              <w:rPr>
                <w:lang w:val="en-CA"/>
              </w:rPr>
              <w:t>firms</w:t>
            </w:r>
            <w:r w:rsidR="00CF46B2" w:rsidRPr="00F740BB">
              <w:rPr>
                <w:lang w:val="en-CA"/>
              </w:rPr>
              <w:t xml:space="preserve">. The </w:t>
            </w:r>
            <w:hyperlink r:id="rId21" w:history="1">
              <w:r w:rsidR="004838A6" w:rsidRPr="00F740BB">
                <w:rPr>
                  <w:rStyle w:val="Hyperlink"/>
                  <w:lang w:val="en-CA"/>
                </w:rPr>
                <w:t>Grow Your Business Online</w:t>
              </w:r>
            </w:hyperlink>
            <w:r w:rsidR="004838A6" w:rsidRPr="00F740BB">
              <w:rPr>
                <w:lang w:val="en-CA"/>
              </w:rPr>
              <w:t xml:space="preserve"> </w:t>
            </w:r>
            <w:r w:rsidR="004C31A8" w:rsidRPr="00F740BB">
              <w:rPr>
                <w:lang w:val="en-CA"/>
              </w:rPr>
              <w:t>initiative</w:t>
            </w:r>
            <w:r w:rsidR="004838A6" w:rsidRPr="00F740BB">
              <w:rPr>
                <w:lang w:val="en-CA"/>
              </w:rPr>
              <w:t xml:space="preserve"> </w:t>
            </w:r>
            <w:r w:rsidR="00651E0A" w:rsidRPr="00F740BB">
              <w:rPr>
                <w:lang w:val="en-CA"/>
              </w:rPr>
              <w:t>provide</w:t>
            </w:r>
            <w:r w:rsidR="00D23AD2" w:rsidRPr="00F740BB">
              <w:rPr>
                <w:lang w:val="en-CA"/>
              </w:rPr>
              <w:t>s</w:t>
            </w:r>
            <w:r w:rsidR="00651E0A" w:rsidRPr="00F740BB">
              <w:rPr>
                <w:lang w:val="en-CA"/>
              </w:rPr>
              <w:t xml:space="preserve"> up to $2,400</w:t>
            </w:r>
            <w:r w:rsidR="00C919CF" w:rsidRPr="00F740BB">
              <w:rPr>
                <w:lang w:val="en-CA"/>
              </w:rPr>
              <w:t xml:space="preserve"> per </w:t>
            </w:r>
            <w:r w:rsidRPr="00F740BB">
              <w:rPr>
                <w:lang w:val="en-CA"/>
              </w:rPr>
              <w:t xml:space="preserve">small </w:t>
            </w:r>
            <w:r w:rsidR="00C919CF" w:rsidRPr="00F740BB">
              <w:rPr>
                <w:lang w:val="en-CA"/>
              </w:rPr>
              <w:t>business</w:t>
            </w:r>
            <w:r w:rsidR="00651E0A" w:rsidRPr="00F740BB">
              <w:rPr>
                <w:lang w:val="en-CA"/>
              </w:rPr>
              <w:t xml:space="preserve"> </w:t>
            </w:r>
            <w:r w:rsidR="00CD4B30" w:rsidRPr="00F740BB">
              <w:rPr>
                <w:lang w:val="en-CA"/>
              </w:rPr>
              <w:t xml:space="preserve">to help </w:t>
            </w:r>
            <w:r w:rsidR="004C31A8" w:rsidRPr="00F740BB">
              <w:rPr>
                <w:lang w:val="en-CA"/>
              </w:rPr>
              <w:t>finance</w:t>
            </w:r>
            <w:r w:rsidR="00CD4B30" w:rsidRPr="00F740BB">
              <w:rPr>
                <w:lang w:val="en-CA"/>
              </w:rPr>
              <w:t xml:space="preserve"> </w:t>
            </w:r>
            <w:r w:rsidRPr="00F740BB">
              <w:rPr>
                <w:lang w:val="en-CA"/>
              </w:rPr>
              <w:t xml:space="preserve">the </w:t>
            </w:r>
            <w:r w:rsidR="00CD4B30" w:rsidRPr="00F740BB">
              <w:rPr>
                <w:lang w:val="en-CA"/>
              </w:rPr>
              <w:t>costs relat</w:t>
            </w:r>
            <w:r w:rsidR="004C31A8" w:rsidRPr="00F740BB">
              <w:rPr>
                <w:lang w:val="en-CA"/>
              </w:rPr>
              <w:t>ing</w:t>
            </w:r>
            <w:r w:rsidR="00CD4B30" w:rsidRPr="00F740BB">
              <w:rPr>
                <w:lang w:val="en-CA"/>
              </w:rPr>
              <w:t xml:space="preserve"> to </w:t>
            </w:r>
            <w:r w:rsidR="00D23AD2" w:rsidRPr="00F740BB">
              <w:rPr>
                <w:lang w:val="en-CA"/>
              </w:rPr>
              <w:t xml:space="preserve">the </w:t>
            </w:r>
            <w:r w:rsidR="00CD4B30" w:rsidRPr="00F740BB">
              <w:rPr>
                <w:lang w:val="en-CA"/>
              </w:rPr>
              <w:t>adopti</w:t>
            </w:r>
            <w:r w:rsidR="00D23AD2" w:rsidRPr="00F740BB">
              <w:rPr>
                <w:lang w:val="en-CA"/>
              </w:rPr>
              <w:t>o</w:t>
            </w:r>
            <w:r w:rsidR="00CD4B30" w:rsidRPr="00F740BB">
              <w:rPr>
                <w:lang w:val="en-CA"/>
              </w:rPr>
              <w:t>n</w:t>
            </w:r>
            <w:r w:rsidR="00D23AD2" w:rsidRPr="00F740BB">
              <w:rPr>
                <w:lang w:val="en-CA"/>
              </w:rPr>
              <w:t xml:space="preserve"> of</w:t>
            </w:r>
            <w:r w:rsidR="00CD4B30" w:rsidRPr="00F740BB">
              <w:rPr>
                <w:lang w:val="en-CA"/>
              </w:rPr>
              <w:t xml:space="preserve"> digital technologies</w:t>
            </w:r>
            <w:r w:rsidRPr="00F740BB">
              <w:rPr>
                <w:lang w:val="en-CA"/>
              </w:rPr>
              <w:t>,</w:t>
            </w:r>
            <w:r w:rsidR="00DB633E" w:rsidRPr="00F740BB">
              <w:rPr>
                <w:lang w:val="en-CA"/>
              </w:rPr>
              <w:t xml:space="preserve"> and</w:t>
            </w:r>
            <w:r w:rsidR="004C31A8" w:rsidRPr="00F740BB">
              <w:rPr>
                <w:lang w:val="en-CA"/>
              </w:rPr>
              <w:t xml:space="preserve"> t</w:t>
            </w:r>
            <w:r w:rsidR="007E13AD" w:rsidRPr="00F740BB">
              <w:rPr>
                <w:lang w:val="en-CA"/>
              </w:rPr>
              <w:t xml:space="preserve">he </w:t>
            </w:r>
            <w:hyperlink r:id="rId22" w:history="1">
              <w:r w:rsidR="007E13AD" w:rsidRPr="00F740BB">
                <w:rPr>
                  <w:rStyle w:val="Hyperlink"/>
                  <w:lang w:val="en-CA"/>
                </w:rPr>
                <w:t>Boost Your Business Technology</w:t>
              </w:r>
            </w:hyperlink>
            <w:r w:rsidR="007E13AD" w:rsidRPr="00F740BB">
              <w:rPr>
                <w:lang w:val="en-CA"/>
              </w:rPr>
              <w:t xml:space="preserve"> grant</w:t>
            </w:r>
            <w:r w:rsidR="00AC44A9" w:rsidRPr="00F740BB">
              <w:rPr>
                <w:lang w:val="en-CA"/>
              </w:rPr>
              <w:t xml:space="preserve">s </w:t>
            </w:r>
            <w:r w:rsidR="004C31A8" w:rsidRPr="00F740BB">
              <w:rPr>
                <w:lang w:val="en-CA"/>
              </w:rPr>
              <w:t>help</w:t>
            </w:r>
            <w:r w:rsidR="00AC44A9" w:rsidRPr="00F740BB">
              <w:rPr>
                <w:lang w:val="en-CA"/>
              </w:rPr>
              <w:t xml:space="preserve"> Canadian-owned small and medium</w:t>
            </w:r>
            <w:r w:rsidR="004C31A8" w:rsidRPr="00F740BB">
              <w:rPr>
                <w:lang w:val="en-CA"/>
              </w:rPr>
              <w:t>-</w:t>
            </w:r>
            <w:r w:rsidR="00AC44A9" w:rsidRPr="00F740BB">
              <w:rPr>
                <w:lang w:val="en-CA"/>
              </w:rPr>
              <w:t xml:space="preserve">sized </w:t>
            </w:r>
            <w:r w:rsidR="004C31A8" w:rsidRPr="00F740BB">
              <w:rPr>
                <w:lang w:val="en-CA"/>
              </w:rPr>
              <w:t xml:space="preserve">firms </w:t>
            </w:r>
            <w:r w:rsidR="001279DF" w:rsidRPr="00F740BB">
              <w:rPr>
                <w:lang w:val="en-CA"/>
              </w:rPr>
              <w:t xml:space="preserve">to pay for the services of a digital advisor. These advisors recommend digital pathways and strategies that will help </w:t>
            </w:r>
            <w:r w:rsidR="00D23AD2" w:rsidRPr="00F740BB">
              <w:rPr>
                <w:lang w:val="en-CA"/>
              </w:rPr>
              <w:t>firms to</w:t>
            </w:r>
            <w:r w:rsidR="001279DF" w:rsidRPr="00F740BB">
              <w:rPr>
                <w:lang w:val="en-CA"/>
              </w:rPr>
              <w:t xml:space="preserve"> achieve their business goals and increase their competitiveness in the digital economy.</w:t>
            </w:r>
          </w:p>
          <w:p w14:paraId="6316110F" w14:textId="17B3A791" w:rsidR="00CE0171" w:rsidRPr="00F740BB" w:rsidRDefault="00BB2E60" w:rsidP="00F740BB">
            <w:pPr>
              <w:spacing w:before="120" w:after="120" w:line="235" w:lineRule="auto"/>
              <w:rPr>
                <w:lang w:val="en-CA"/>
              </w:rPr>
            </w:pPr>
            <w:r w:rsidRPr="00F740BB">
              <w:rPr>
                <w:lang w:val="en-CA"/>
              </w:rPr>
              <w:t xml:space="preserve">In 2017, the </w:t>
            </w:r>
            <w:hyperlink r:id="rId23" w:history="1">
              <w:r w:rsidRPr="00F740BB">
                <w:rPr>
                  <w:rStyle w:val="Hyperlink"/>
                  <w:lang w:val="en-CA"/>
                </w:rPr>
                <w:t>Competition Bureau</w:t>
              </w:r>
            </w:hyperlink>
            <w:r w:rsidRPr="00F740BB">
              <w:rPr>
                <w:lang w:val="en-CA"/>
              </w:rPr>
              <w:t xml:space="preserve"> published a report </w:t>
            </w:r>
            <w:r w:rsidR="004C31A8" w:rsidRPr="00F740BB">
              <w:rPr>
                <w:lang w:val="en-CA"/>
              </w:rPr>
              <w:t>that identifie</w:t>
            </w:r>
            <w:r w:rsidR="00D23AD2" w:rsidRPr="00F740BB">
              <w:rPr>
                <w:lang w:val="en-CA"/>
              </w:rPr>
              <w:t>s</w:t>
            </w:r>
            <w:r w:rsidR="00760B69" w:rsidRPr="00F740BB">
              <w:rPr>
                <w:lang w:val="en-CA"/>
              </w:rPr>
              <w:t xml:space="preserve"> steps </w:t>
            </w:r>
            <w:r w:rsidR="006B4512" w:rsidRPr="00F740BB">
              <w:rPr>
                <w:lang w:val="en-CA"/>
              </w:rPr>
              <w:t xml:space="preserve">the </w:t>
            </w:r>
            <w:r w:rsidR="004C31A8" w:rsidRPr="00F740BB">
              <w:rPr>
                <w:lang w:val="en-CA"/>
              </w:rPr>
              <w:t>G</w:t>
            </w:r>
            <w:r w:rsidR="006B4512" w:rsidRPr="00F740BB">
              <w:rPr>
                <w:lang w:val="en-CA"/>
              </w:rPr>
              <w:t xml:space="preserve">overnment </w:t>
            </w:r>
            <w:r w:rsidR="004C31A8" w:rsidRPr="00F740BB">
              <w:rPr>
                <w:lang w:val="en-CA"/>
              </w:rPr>
              <w:t xml:space="preserve">of Canada </w:t>
            </w:r>
            <w:r w:rsidR="006B4512" w:rsidRPr="00F740BB">
              <w:rPr>
                <w:lang w:val="en-CA"/>
              </w:rPr>
              <w:t xml:space="preserve">could take </w:t>
            </w:r>
            <w:r w:rsidR="00760B69" w:rsidRPr="00F740BB">
              <w:rPr>
                <w:lang w:val="en-CA"/>
              </w:rPr>
              <w:t xml:space="preserve">to foster </w:t>
            </w:r>
            <w:r w:rsidR="004C31A8" w:rsidRPr="00F740BB">
              <w:rPr>
                <w:lang w:val="en-CA"/>
              </w:rPr>
              <w:t>f</w:t>
            </w:r>
            <w:r w:rsidR="00760B69" w:rsidRPr="00F740BB">
              <w:rPr>
                <w:lang w:val="en-CA"/>
              </w:rPr>
              <w:t>in</w:t>
            </w:r>
            <w:r w:rsidR="004C31A8" w:rsidRPr="00F740BB">
              <w:rPr>
                <w:lang w:val="en-CA"/>
              </w:rPr>
              <w:t>t</w:t>
            </w:r>
            <w:r w:rsidR="00760B69" w:rsidRPr="00F740BB">
              <w:rPr>
                <w:lang w:val="en-CA"/>
              </w:rPr>
              <w:t>ech innovation and competition</w:t>
            </w:r>
            <w:r w:rsidR="00D7622F" w:rsidRPr="00F740BB">
              <w:rPr>
                <w:lang w:val="en-CA"/>
              </w:rPr>
              <w:t xml:space="preserve">. </w:t>
            </w:r>
            <w:r w:rsidR="006B4512" w:rsidRPr="00F740BB">
              <w:rPr>
                <w:lang w:val="en-CA"/>
              </w:rPr>
              <w:t xml:space="preserve">The report also </w:t>
            </w:r>
            <w:r w:rsidR="00CC355D" w:rsidRPr="00F740BB">
              <w:rPr>
                <w:lang w:val="en-CA"/>
              </w:rPr>
              <w:t>note</w:t>
            </w:r>
            <w:r w:rsidR="00D23AD2" w:rsidRPr="00F740BB">
              <w:rPr>
                <w:lang w:val="en-CA"/>
              </w:rPr>
              <w:t>s</w:t>
            </w:r>
            <w:r w:rsidR="006B4512" w:rsidRPr="00F740BB">
              <w:rPr>
                <w:lang w:val="en-CA"/>
              </w:rPr>
              <w:t xml:space="preserve"> some of the </w:t>
            </w:r>
            <w:r w:rsidR="00BF57C6" w:rsidRPr="00F740BB">
              <w:rPr>
                <w:lang w:val="en-CA"/>
              </w:rPr>
              <w:t xml:space="preserve">reasons why </w:t>
            </w:r>
            <w:r w:rsidR="006B4512" w:rsidRPr="00F740BB">
              <w:rPr>
                <w:lang w:val="en-CA"/>
              </w:rPr>
              <w:t>Canada lag</w:t>
            </w:r>
            <w:r w:rsidR="00BF57C6" w:rsidRPr="00F740BB">
              <w:rPr>
                <w:lang w:val="en-CA"/>
              </w:rPr>
              <w:t>s</w:t>
            </w:r>
            <w:r w:rsidR="006B4512" w:rsidRPr="00F740BB">
              <w:rPr>
                <w:lang w:val="en-CA"/>
              </w:rPr>
              <w:t xml:space="preserve"> behind international competitors in </w:t>
            </w:r>
            <w:r w:rsidR="004C31A8" w:rsidRPr="00F740BB">
              <w:rPr>
                <w:lang w:val="en-CA"/>
              </w:rPr>
              <w:t>f</w:t>
            </w:r>
            <w:r w:rsidR="006B4512" w:rsidRPr="00F740BB">
              <w:rPr>
                <w:lang w:val="en-CA"/>
              </w:rPr>
              <w:t>in</w:t>
            </w:r>
            <w:r w:rsidR="004C31A8" w:rsidRPr="00F740BB">
              <w:rPr>
                <w:lang w:val="en-CA"/>
              </w:rPr>
              <w:t>t</w:t>
            </w:r>
            <w:r w:rsidR="006B4512" w:rsidRPr="00F740BB">
              <w:rPr>
                <w:lang w:val="en-CA"/>
              </w:rPr>
              <w:t>ech adoption rate</w:t>
            </w:r>
            <w:r w:rsidR="00BF57C6" w:rsidRPr="00F740BB">
              <w:rPr>
                <w:lang w:val="en-CA"/>
              </w:rPr>
              <w:t>s</w:t>
            </w:r>
            <w:r w:rsidR="006B4512" w:rsidRPr="00F740BB">
              <w:rPr>
                <w:lang w:val="en-CA"/>
              </w:rPr>
              <w:t>.</w:t>
            </w:r>
          </w:p>
        </w:tc>
      </w:tr>
      <w:tr w:rsidR="004F709B" w:rsidRPr="00F740BB" w14:paraId="277716EB" w14:textId="77777777" w:rsidTr="00816286">
        <w:tc>
          <w:tcPr>
            <w:tcW w:w="0" w:type="auto"/>
            <w:shd w:val="clear" w:color="auto" w:fill="F2F2F2" w:themeFill="background1" w:themeFillShade="F2"/>
          </w:tcPr>
          <w:p w14:paraId="75973A9E" w14:textId="17D4203C" w:rsidR="004F709B" w:rsidRPr="00F740BB" w:rsidRDefault="00FB75A6" w:rsidP="00F740BB">
            <w:pPr>
              <w:pStyle w:val="Default"/>
              <w:numPr>
                <w:ilvl w:val="0"/>
                <w:numId w:val="1"/>
              </w:numPr>
              <w:spacing w:before="120" w:after="120" w:line="235" w:lineRule="auto"/>
              <w:rPr>
                <w:rFonts w:ascii="Arial" w:hAnsi="Arial" w:cstheme="minorBidi"/>
                <w:color w:val="auto"/>
                <w:sz w:val="22"/>
                <w:szCs w:val="22"/>
                <w:lang w:val="en-CA"/>
              </w:rPr>
            </w:pPr>
            <w:r w:rsidRPr="00F740BB">
              <w:rPr>
                <w:b/>
                <w:bCs/>
                <w:lang w:val="en-CA"/>
              </w:rPr>
              <w:t xml:space="preserve">Urge </w:t>
            </w:r>
            <w:r w:rsidRPr="00F740BB">
              <w:rPr>
                <w:lang w:val="en-CA"/>
              </w:rPr>
              <w:t>APPF Member Countries to facilitate the flow of data, strengthen digital infrastructure, technologies and consumer trust in digital transactions and, when necessary, harmonize polic</w:t>
            </w:r>
            <w:r w:rsidR="00A22A7A" w:rsidRPr="00F740BB">
              <w:rPr>
                <w:lang w:val="en-CA"/>
              </w:rPr>
              <w:t>i</w:t>
            </w:r>
            <w:r w:rsidRPr="00F740BB">
              <w:rPr>
                <w:lang w:val="en-CA"/>
              </w:rPr>
              <w:t>es and legislation for regional economic digital integration envisioned in the APEC Connectivity Blueprint for 2015</w:t>
            </w:r>
            <w:r w:rsidR="00375E18" w:rsidRPr="00F740BB">
              <w:rPr>
                <w:lang w:val="en-CA"/>
              </w:rPr>
              <w:t>–</w:t>
            </w:r>
            <w:r w:rsidRPr="00F740BB">
              <w:rPr>
                <w:lang w:val="en-CA"/>
              </w:rPr>
              <w:t>2025</w:t>
            </w:r>
            <w:r w:rsidR="005D113F" w:rsidRPr="00F740BB">
              <w:rPr>
                <w:lang w:val="en-CA"/>
              </w:rPr>
              <w:t>;</w:t>
            </w:r>
          </w:p>
        </w:tc>
        <w:tc>
          <w:tcPr>
            <w:tcW w:w="0" w:type="auto"/>
          </w:tcPr>
          <w:p w14:paraId="45B0B75C" w14:textId="3150E98E" w:rsidR="00BB333C" w:rsidRPr="00F740BB" w:rsidRDefault="00851E96" w:rsidP="00F740BB">
            <w:pPr>
              <w:spacing w:line="235" w:lineRule="auto"/>
              <w:ind w:right="-101"/>
              <w:rPr>
                <w:lang w:val="en-CA"/>
              </w:rPr>
            </w:pPr>
            <w:r w:rsidRPr="00F740BB">
              <w:rPr>
                <w:lang w:val="en-CA"/>
              </w:rPr>
              <w:t xml:space="preserve">Canada supports various initiatives </w:t>
            </w:r>
            <w:r w:rsidR="004C31A8" w:rsidRPr="00F740BB">
              <w:rPr>
                <w:lang w:val="en-CA"/>
              </w:rPr>
              <w:t>designed to</w:t>
            </w:r>
            <w:r w:rsidRPr="00F740BB">
              <w:rPr>
                <w:lang w:val="en-CA"/>
              </w:rPr>
              <w:t xml:space="preserve"> harmoniz</w:t>
            </w:r>
            <w:r w:rsidR="004C31A8" w:rsidRPr="00F740BB">
              <w:rPr>
                <w:lang w:val="en-CA"/>
              </w:rPr>
              <w:t>e</w:t>
            </w:r>
            <w:r w:rsidRPr="00F740BB">
              <w:rPr>
                <w:lang w:val="en-CA"/>
              </w:rPr>
              <w:t xml:space="preserve"> policies and legislation </w:t>
            </w:r>
            <w:r w:rsidR="004C31A8" w:rsidRPr="00F740BB">
              <w:rPr>
                <w:lang w:val="en-CA"/>
              </w:rPr>
              <w:t>concerning</w:t>
            </w:r>
            <w:r w:rsidRPr="00F740BB">
              <w:rPr>
                <w:lang w:val="en-CA"/>
              </w:rPr>
              <w:t xml:space="preserve"> </w:t>
            </w:r>
            <w:r w:rsidR="00D84BEC" w:rsidRPr="00F740BB">
              <w:rPr>
                <w:lang w:val="en-CA"/>
              </w:rPr>
              <w:t xml:space="preserve">digital integration. For instance, Canada is a signatory </w:t>
            </w:r>
            <w:r w:rsidR="004C31A8" w:rsidRPr="00F740BB">
              <w:rPr>
                <w:lang w:val="en-CA"/>
              </w:rPr>
              <w:t>to</w:t>
            </w:r>
            <w:r w:rsidR="00D84BEC" w:rsidRPr="00F740BB">
              <w:rPr>
                <w:lang w:val="en-CA"/>
              </w:rPr>
              <w:t xml:space="preserve"> the 2019 </w:t>
            </w:r>
            <w:hyperlink r:id="rId24" w:history="1">
              <w:r w:rsidR="00D84BEC" w:rsidRPr="00F740BB">
                <w:rPr>
                  <w:rStyle w:val="Hyperlink"/>
                  <w:lang w:val="en-CA"/>
                </w:rPr>
                <w:t>WTO Joint statement on electronic commerce</w:t>
              </w:r>
            </w:hyperlink>
            <w:r w:rsidR="004C31A8" w:rsidRPr="00F740BB">
              <w:rPr>
                <w:lang w:val="en-CA"/>
              </w:rPr>
              <w:t xml:space="preserve">, </w:t>
            </w:r>
            <w:r w:rsidR="00D84BEC" w:rsidRPr="00F740BB">
              <w:rPr>
                <w:lang w:val="en-CA"/>
              </w:rPr>
              <w:t>which</w:t>
            </w:r>
            <w:r w:rsidR="00F513BA" w:rsidRPr="00F740BB">
              <w:rPr>
                <w:lang w:val="en-CA"/>
              </w:rPr>
              <w:t xml:space="preserve"> aims </w:t>
            </w:r>
            <w:r w:rsidR="00A921F0" w:rsidRPr="00F740BB">
              <w:rPr>
                <w:lang w:val="en-CA"/>
              </w:rPr>
              <w:t>to</w:t>
            </w:r>
            <w:r w:rsidR="00F513BA" w:rsidRPr="00F740BB">
              <w:rPr>
                <w:lang w:val="en-CA"/>
              </w:rPr>
              <w:t xml:space="preserve"> enhanc</w:t>
            </w:r>
            <w:r w:rsidR="00A921F0" w:rsidRPr="00F740BB">
              <w:rPr>
                <w:lang w:val="en-CA"/>
              </w:rPr>
              <w:t>e</w:t>
            </w:r>
            <w:r w:rsidR="00F513BA" w:rsidRPr="00F740BB">
              <w:rPr>
                <w:lang w:val="en-CA"/>
              </w:rPr>
              <w:t xml:space="preserve"> </w:t>
            </w:r>
            <w:r w:rsidR="00375E18" w:rsidRPr="00F740BB">
              <w:rPr>
                <w:lang w:val="en-CA"/>
              </w:rPr>
              <w:t>“</w:t>
            </w:r>
            <w:r w:rsidR="00F513BA" w:rsidRPr="00F740BB">
              <w:rPr>
                <w:lang w:val="en-CA"/>
              </w:rPr>
              <w:t>the benefits</w:t>
            </w:r>
            <w:r w:rsidR="00A45CE6" w:rsidRPr="00F740BB">
              <w:rPr>
                <w:lang w:val="en-CA"/>
              </w:rPr>
              <w:t xml:space="preserve"> </w:t>
            </w:r>
            <w:r w:rsidR="00F513BA" w:rsidRPr="00F740BB">
              <w:rPr>
                <w:lang w:val="en-CA"/>
              </w:rPr>
              <w:t>of electronic commerce for businesses, consumers and the global economy</w:t>
            </w:r>
            <w:r w:rsidR="00A921F0" w:rsidRPr="00F740BB">
              <w:rPr>
                <w:lang w:val="en-CA"/>
              </w:rPr>
              <w:t>.</w:t>
            </w:r>
            <w:r w:rsidR="00375E18" w:rsidRPr="00F740BB">
              <w:rPr>
                <w:lang w:val="en-CA"/>
              </w:rPr>
              <w:t>”</w:t>
            </w:r>
            <w:r w:rsidR="00AB4B3E" w:rsidRPr="00F740BB">
              <w:rPr>
                <w:lang w:val="en-CA"/>
              </w:rPr>
              <w:t xml:space="preserve"> In June</w:t>
            </w:r>
            <w:r w:rsidR="00375E18" w:rsidRPr="00F740BB">
              <w:rPr>
                <w:lang w:val="en-CA"/>
              </w:rPr>
              <w:t> </w:t>
            </w:r>
            <w:r w:rsidR="00AB4B3E" w:rsidRPr="00F740BB">
              <w:rPr>
                <w:lang w:val="en-CA"/>
              </w:rPr>
              <w:t xml:space="preserve">2022, Canada </w:t>
            </w:r>
            <w:r w:rsidR="00C725EF" w:rsidRPr="00F740BB">
              <w:rPr>
                <w:lang w:val="en-CA"/>
              </w:rPr>
              <w:t xml:space="preserve">and other members of the G7 issued a </w:t>
            </w:r>
            <w:hyperlink r:id="rId25" w:history="1">
              <w:r w:rsidR="00A22A7A" w:rsidRPr="00F740BB">
                <w:rPr>
                  <w:rStyle w:val="Hyperlink"/>
                  <w:lang w:val="en-CA"/>
                </w:rPr>
                <w:t>c</w:t>
              </w:r>
              <w:r w:rsidR="00456CBB" w:rsidRPr="00F740BB">
                <w:rPr>
                  <w:rStyle w:val="Hyperlink"/>
                  <w:lang w:val="en-CA"/>
                </w:rPr>
                <w:t>ommuniqué</w:t>
              </w:r>
            </w:hyperlink>
            <w:r w:rsidR="00456CBB" w:rsidRPr="00F740BB">
              <w:rPr>
                <w:lang w:val="en-CA"/>
              </w:rPr>
              <w:t xml:space="preserve"> committ</w:t>
            </w:r>
            <w:r w:rsidR="00A724A4" w:rsidRPr="00F740BB">
              <w:rPr>
                <w:lang w:val="en-CA"/>
              </w:rPr>
              <w:t>ing</w:t>
            </w:r>
            <w:r w:rsidR="00456CBB" w:rsidRPr="00F740BB">
              <w:rPr>
                <w:lang w:val="en-CA"/>
              </w:rPr>
              <w:t xml:space="preserve"> to</w:t>
            </w:r>
            <w:r w:rsidR="00AB4B3E" w:rsidRPr="00F740BB">
              <w:rPr>
                <w:lang w:val="en-CA"/>
              </w:rPr>
              <w:t xml:space="preserve"> </w:t>
            </w:r>
            <w:r w:rsidR="00375E18" w:rsidRPr="00F740BB">
              <w:rPr>
                <w:lang w:val="en-CA"/>
              </w:rPr>
              <w:t>“</w:t>
            </w:r>
            <w:r w:rsidR="00456CBB" w:rsidRPr="00F740BB">
              <w:rPr>
                <w:lang w:val="en-CA"/>
              </w:rPr>
              <w:t>work together to help shape an inclusive and global digital ecosystem that fosters an open, free and secure Internet, competition and innovation, protects privacy and personal data, and promotes respect for human rights and fundamental freedoms</w:t>
            </w:r>
            <w:r w:rsidR="00A22A7A" w:rsidRPr="00F740BB">
              <w:rPr>
                <w:lang w:val="en-CA"/>
              </w:rPr>
              <w:t>.</w:t>
            </w:r>
            <w:r w:rsidR="00375E18" w:rsidRPr="00F740BB">
              <w:rPr>
                <w:lang w:val="en-CA"/>
              </w:rPr>
              <w:t>”</w:t>
            </w:r>
          </w:p>
        </w:tc>
      </w:tr>
      <w:tr w:rsidR="004F709B" w:rsidRPr="00F740BB" w14:paraId="7D277709" w14:textId="77777777" w:rsidTr="00816286">
        <w:tc>
          <w:tcPr>
            <w:tcW w:w="0" w:type="auto"/>
            <w:shd w:val="clear" w:color="auto" w:fill="F2F2F2" w:themeFill="background1" w:themeFillShade="F2"/>
          </w:tcPr>
          <w:p w14:paraId="1EB70EB0" w14:textId="399A8109" w:rsidR="004F709B" w:rsidRPr="00F740BB" w:rsidRDefault="00FB75A6" w:rsidP="00F740BB">
            <w:pPr>
              <w:pStyle w:val="Default"/>
              <w:numPr>
                <w:ilvl w:val="0"/>
                <w:numId w:val="1"/>
              </w:numPr>
              <w:spacing w:before="120" w:after="120" w:line="235" w:lineRule="auto"/>
              <w:rPr>
                <w:rFonts w:ascii="Arial" w:hAnsi="Arial" w:cstheme="minorBidi"/>
                <w:color w:val="auto"/>
                <w:sz w:val="22"/>
                <w:szCs w:val="22"/>
                <w:lang w:val="en-CA"/>
              </w:rPr>
            </w:pPr>
            <w:r w:rsidRPr="00F740BB">
              <w:rPr>
                <w:b/>
                <w:bCs/>
                <w:lang w:val="en-CA"/>
              </w:rPr>
              <w:t xml:space="preserve">Invite </w:t>
            </w:r>
            <w:r w:rsidRPr="00F740BB">
              <w:rPr>
                <w:lang w:val="en-CA"/>
              </w:rPr>
              <w:t>APPF Member Countries to work together to strengthen connectivity for early detection of and response to new threats to the region in the post COVID era such as new infectious diseases, natural disasters and cyber threats</w:t>
            </w:r>
            <w:r w:rsidR="002A14EB" w:rsidRPr="00F740BB">
              <w:rPr>
                <w:lang w:val="en-CA"/>
              </w:rPr>
              <w:t>;</w:t>
            </w:r>
          </w:p>
        </w:tc>
        <w:tc>
          <w:tcPr>
            <w:tcW w:w="0" w:type="auto"/>
          </w:tcPr>
          <w:p w14:paraId="14217F29" w14:textId="54DA9735" w:rsidR="00590DD3" w:rsidRPr="00F740BB" w:rsidRDefault="00A921F0" w:rsidP="00F740BB">
            <w:pPr>
              <w:spacing w:before="120" w:after="120" w:line="228" w:lineRule="auto"/>
              <w:rPr>
                <w:lang w:val="en-CA"/>
              </w:rPr>
            </w:pPr>
            <w:r w:rsidRPr="00F740BB">
              <w:rPr>
                <w:lang w:val="en-CA"/>
              </w:rPr>
              <w:t>Canada has s</w:t>
            </w:r>
            <w:r w:rsidR="00D774A0" w:rsidRPr="00F740BB">
              <w:rPr>
                <w:lang w:val="en-CA"/>
              </w:rPr>
              <w:t>everal mechanism</w:t>
            </w:r>
            <w:r w:rsidR="00BE6EE2" w:rsidRPr="00F740BB">
              <w:rPr>
                <w:lang w:val="en-CA"/>
              </w:rPr>
              <w:t>s</w:t>
            </w:r>
            <w:r w:rsidR="00D774A0" w:rsidRPr="00F740BB">
              <w:rPr>
                <w:lang w:val="en-CA"/>
              </w:rPr>
              <w:t xml:space="preserve"> </w:t>
            </w:r>
            <w:r w:rsidR="00544C85" w:rsidRPr="00F740BB">
              <w:rPr>
                <w:lang w:val="en-CA"/>
              </w:rPr>
              <w:t xml:space="preserve">for </w:t>
            </w:r>
            <w:r w:rsidRPr="00F740BB">
              <w:rPr>
                <w:lang w:val="en-CA"/>
              </w:rPr>
              <w:t xml:space="preserve">the </w:t>
            </w:r>
            <w:r w:rsidR="00544C85" w:rsidRPr="00F740BB">
              <w:rPr>
                <w:lang w:val="en-CA"/>
              </w:rPr>
              <w:t>early detection of infectious disease</w:t>
            </w:r>
            <w:r w:rsidRPr="00F740BB">
              <w:rPr>
                <w:lang w:val="en-CA"/>
              </w:rPr>
              <w:t>. These include</w:t>
            </w:r>
            <w:r w:rsidR="00544C85" w:rsidRPr="00F740BB">
              <w:rPr>
                <w:lang w:val="en-CA"/>
              </w:rPr>
              <w:t xml:space="preserve"> the </w:t>
            </w:r>
            <w:hyperlink r:id="rId26" w:history="1">
              <w:r w:rsidR="00544C85" w:rsidRPr="00F740BB">
                <w:rPr>
                  <w:rStyle w:val="Hyperlink"/>
                  <w:lang w:val="en-CA"/>
                </w:rPr>
                <w:t>Respiratory Virus Detection Surveillance System</w:t>
              </w:r>
            </w:hyperlink>
            <w:r w:rsidRPr="00F740BB">
              <w:rPr>
                <w:lang w:val="en-CA"/>
              </w:rPr>
              <w:t xml:space="preserve">, </w:t>
            </w:r>
            <w:r w:rsidR="00544C85" w:rsidRPr="00F740BB">
              <w:rPr>
                <w:lang w:val="en-CA"/>
              </w:rPr>
              <w:t xml:space="preserve">which </w:t>
            </w:r>
            <w:r w:rsidR="00E56A8B" w:rsidRPr="00F740BB">
              <w:rPr>
                <w:lang w:val="en-CA"/>
              </w:rPr>
              <w:t>collects data from select laboratories across Canada</w:t>
            </w:r>
            <w:r w:rsidRPr="00F740BB">
              <w:rPr>
                <w:lang w:val="en-CA"/>
              </w:rPr>
              <w:t>, and</w:t>
            </w:r>
            <w:r w:rsidR="00EA07BA" w:rsidRPr="00F740BB">
              <w:rPr>
                <w:lang w:val="en-CA"/>
              </w:rPr>
              <w:t xml:space="preserve"> the </w:t>
            </w:r>
            <w:hyperlink r:id="rId27" w:history="1">
              <w:r w:rsidR="00590DD3" w:rsidRPr="00F740BB">
                <w:rPr>
                  <w:rStyle w:val="Hyperlink"/>
                  <w:lang w:val="en-CA"/>
                </w:rPr>
                <w:t>Global Public Health Intelligence Network</w:t>
              </w:r>
            </w:hyperlink>
            <w:r w:rsidR="00EA07BA" w:rsidRPr="00F740BB">
              <w:rPr>
                <w:lang w:val="en-CA"/>
              </w:rPr>
              <w:t xml:space="preserve">, </w:t>
            </w:r>
            <w:r w:rsidRPr="00F740BB">
              <w:rPr>
                <w:lang w:val="en-CA"/>
              </w:rPr>
              <w:t xml:space="preserve">which is </w:t>
            </w:r>
            <w:r w:rsidR="00590DD3" w:rsidRPr="00F740BB">
              <w:rPr>
                <w:lang w:val="en-CA"/>
              </w:rPr>
              <w:t>an online early warning system that monitors global news sources in nine</w:t>
            </w:r>
            <w:r w:rsidR="00375E18" w:rsidRPr="00F740BB">
              <w:rPr>
                <w:lang w:val="en-CA"/>
              </w:rPr>
              <w:t> </w:t>
            </w:r>
            <w:r w:rsidR="00590DD3" w:rsidRPr="00F740BB">
              <w:rPr>
                <w:lang w:val="en-CA"/>
              </w:rPr>
              <w:t xml:space="preserve">languages for potential public health risks </w:t>
            </w:r>
            <w:r w:rsidRPr="00F740BB">
              <w:rPr>
                <w:lang w:val="en-CA"/>
              </w:rPr>
              <w:t>occurring</w:t>
            </w:r>
            <w:r w:rsidR="00590DD3" w:rsidRPr="00F740BB">
              <w:rPr>
                <w:lang w:val="en-CA"/>
              </w:rPr>
              <w:t xml:space="preserve"> anywhere in the world. </w:t>
            </w:r>
          </w:p>
          <w:p w14:paraId="2105C22B" w14:textId="0624ABCD" w:rsidR="00754F9C" w:rsidRPr="00F740BB" w:rsidRDefault="009A3368" w:rsidP="00F740BB">
            <w:pPr>
              <w:spacing w:before="120" w:after="120" w:line="228" w:lineRule="auto"/>
              <w:rPr>
                <w:lang w:val="en-CA"/>
              </w:rPr>
            </w:pPr>
            <w:r w:rsidRPr="00F740BB">
              <w:rPr>
                <w:lang w:val="en-CA"/>
              </w:rPr>
              <w:t xml:space="preserve">To </w:t>
            </w:r>
            <w:r w:rsidR="00A156AD" w:rsidRPr="00F740BB">
              <w:rPr>
                <w:lang w:val="en-CA"/>
              </w:rPr>
              <w:t xml:space="preserve">respond to </w:t>
            </w:r>
            <w:r w:rsidRPr="00F740BB">
              <w:rPr>
                <w:lang w:val="en-CA"/>
              </w:rPr>
              <w:t>natural disaster threats, t</w:t>
            </w:r>
            <w:r w:rsidR="00B934F2" w:rsidRPr="00F740BB">
              <w:rPr>
                <w:lang w:val="en-CA"/>
              </w:rPr>
              <w:t xml:space="preserve">he </w:t>
            </w:r>
            <w:r w:rsidR="00A22A7A" w:rsidRPr="00F740BB">
              <w:rPr>
                <w:lang w:val="en-CA"/>
              </w:rPr>
              <w:t>G</w:t>
            </w:r>
            <w:r w:rsidR="00B934F2" w:rsidRPr="00F740BB">
              <w:rPr>
                <w:lang w:val="en-CA"/>
              </w:rPr>
              <w:t xml:space="preserve">overnment of Canada is developing </w:t>
            </w:r>
            <w:r w:rsidR="00F04D64" w:rsidRPr="00F740BB">
              <w:rPr>
                <w:lang w:val="en-CA"/>
              </w:rPr>
              <w:t xml:space="preserve">a national </w:t>
            </w:r>
            <w:hyperlink r:id="rId28" w:history="1">
              <w:r w:rsidR="00A921F0" w:rsidRPr="00F740BB">
                <w:rPr>
                  <w:rStyle w:val="Hyperlink"/>
                  <w:lang w:val="en-CA"/>
                </w:rPr>
                <w:t>e</w:t>
              </w:r>
              <w:r w:rsidR="00B934F2" w:rsidRPr="00F740BB">
                <w:rPr>
                  <w:rStyle w:val="Hyperlink"/>
                  <w:lang w:val="en-CA"/>
                </w:rPr>
                <w:t xml:space="preserve">arthquake </w:t>
              </w:r>
              <w:r w:rsidR="00A921F0" w:rsidRPr="00F740BB">
                <w:rPr>
                  <w:rStyle w:val="Hyperlink"/>
                  <w:lang w:val="en-CA"/>
                </w:rPr>
                <w:t>e</w:t>
              </w:r>
              <w:r w:rsidR="00B934F2" w:rsidRPr="00F740BB">
                <w:rPr>
                  <w:rStyle w:val="Hyperlink"/>
                  <w:lang w:val="en-CA"/>
                </w:rPr>
                <w:t xml:space="preserve">arly </w:t>
              </w:r>
              <w:r w:rsidR="00A921F0" w:rsidRPr="00F740BB">
                <w:rPr>
                  <w:rStyle w:val="Hyperlink"/>
                  <w:lang w:val="en-CA"/>
                </w:rPr>
                <w:t>w</w:t>
              </w:r>
              <w:r w:rsidR="00B934F2" w:rsidRPr="00F740BB">
                <w:rPr>
                  <w:rStyle w:val="Hyperlink"/>
                  <w:lang w:val="en-CA"/>
                </w:rPr>
                <w:t>arning</w:t>
              </w:r>
            </w:hyperlink>
            <w:r w:rsidR="00B934F2" w:rsidRPr="00F740BB">
              <w:rPr>
                <w:lang w:val="en-CA"/>
              </w:rPr>
              <w:t xml:space="preserve"> (EEW)</w:t>
            </w:r>
            <w:r w:rsidR="00F04D64" w:rsidRPr="00F740BB">
              <w:rPr>
                <w:lang w:val="en-CA"/>
              </w:rPr>
              <w:t xml:space="preserve"> system</w:t>
            </w:r>
            <w:r w:rsidR="00D42FBE" w:rsidRPr="00F740BB">
              <w:rPr>
                <w:lang w:val="en-CA"/>
              </w:rPr>
              <w:t xml:space="preserve"> designed </w:t>
            </w:r>
            <w:r w:rsidR="00CE2A42" w:rsidRPr="00F740BB">
              <w:rPr>
                <w:lang w:val="en-CA"/>
              </w:rPr>
              <w:t xml:space="preserve">to enhance early detection and warning in areas of moderate to high earthquake hazard. In March 2022, </w:t>
            </w:r>
            <w:r w:rsidR="006403BE" w:rsidRPr="00F740BB">
              <w:rPr>
                <w:lang w:val="en-CA"/>
              </w:rPr>
              <w:t xml:space="preserve">the </w:t>
            </w:r>
            <w:r w:rsidR="00A921F0" w:rsidRPr="00F740BB">
              <w:rPr>
                <w:lang w:val="en-CA"/>
              </w:rPr>
              <w:t>G</w:t>
            </w:r>
            <w:r w:rsidR="006403BE" w:rsidRPr="00F740BB">
              <w:rPr>
                <w:lang w:val="en-CA"/>
              </w:rPr>
              <w:t xml:space="preserve">overnment </w:t>
            </w:r>
            <w:hyperlink r:id="rId29" w:history="1">
              <w:r w:rsidR="006403BE" w:rsidRPr="00F740BB">
                <w:rPr>
                  <w:rStyle w:val="Hyperlink"/>
                  <w:lang w:val="en-CA"/>
                </w:rPr>
                <w:t>announced</w:t>
              </w:r>
            </w:hyperlink>
            <w:r w:rsidR="006403BE" w:rsidRPr="00F740BB">
              <w:rPr>
                <w:lang w:val="en-CA"/>
              </w:rPr>
              <w:t xml:space="preserve"> that </w:t>
            </w:r>
            <w:r w:rsidR="00263C6B" w:rsidRPr="00F740BB">
              <w:rPr>
                <w:lang w:val="en-CA"/>
              </w:rPr>
              <w:t xml:space="preserve">the first of hundreds of sensors for the EEW system </w:t>
            </w:r>
            <w:r w:rsidR="006403BE" w:rsidRPr="00F740BB">
              <w:rPr>
                <w:lang w:val="en-CA"/>
              </w:rPr>
              <w:t xml:space="preserve">has </w:t>
            </w:r>
            <w:r w:rsidR="00263C6B" w:rsidRPr="00F740BB">
              <w:rPr>
                <w:lang w:val="en-CA"/>
              </w:rPr>
              <w:t xml:space="preserve">been </w:t>
            </w:r>
            <w:r w:rsidR="006403BE" w:rsidRPr="00F740BB">
              <w:rPr>
                <w:lang w:val="en-CA"/>
              </w:rPr>
              <w:t>installed.</w:t>
            </w:r>
          </w:p>
          <w:p w14:paraId="6FBB3D31" w14:textId="60E7BD52" w:rsidR="006A7552" w:rsidRPr="00F740BB" w:rsidRDefault="00EC2205" w:rsidP="00F740BB">
            <w:pPr>
              <w:spacing w:before="120" w:after="120" w:line="228" w:lineRule="auto"/>
              <w:rPr>
                <w:lang w:val="en-CA"/>
              </w:rPr>
            </w:pPr>
            <w:r w:rsidRPr="00F740BB">
              <w:rPr>
                <w:lang w:val="en-CA"/>
              </w:rPr>
              <w:t xml:space="preserve">In 2018, the </w:t>
            </w:r>
            <w:r w:rsidR="00A921F0" w:rsidRPr="00F740BB">
              <w:rPr>
                <w:lang w:val="en-CA"/>
              </w:rPr>
              <w:t>G</w:t>
            </w:r>
            <w:r w:rsidRPr="00F740BB">
              <w:rPr>
                <w:lang w:val="en-CA"/>
              </w:rPr>
              <w:t xml:space="preserve">overnment of Canada </w:t>
            </w:r>
            <w:r w:rsidR="00315C10" w:rsidRPr="00F740BB">
              <w:rPr>
                <w:lang w:val="en-CA"/>
              </w:rPr>
              <w:t xml:space="preserve">published </w:t>
            </w:r>
            <w:r w:rsidR="00FC6A98" w:rsidRPr="00F740BB">
              <w:rPr>
                <w:lang w:val="en-CA"/>
              </w:rPr>
              <w:t>its</w:t>
            </w:r>
            <w:r w:rsidR="00315C10" w:rsidRPr="00F740BB">
              <w:rPr>
                <w:lang w:val="en-CA"/>
              </w:rPr>
              <w:t xml:space="preserve"> </w:t>
            </w:r>
            <w:hyperlink r:id="rId30" w:history="1">
              <w:r w:rsidR="00FC6A98" w:rsidRPr="00F740BB">
                <w:rPr>
                  <w:rStyle w:val="Hyperlink"/>
                  <w:lang w:val="en-CA"/>
                </w:rPr>
                <w:t xml:space="preserve">National Cyber Security </w:t>
              </w:r>
              <w:r w:rsidR="00EA4928" w:rsidRPr="00F740BB">
                <w:rPr>
                  <w:rStyle w:val="Hyperlink"/>
                  <w:lang w:val="en-CA"/>
                </w:rPr>
                <w:t>Action Plan</w:t>
              </w:r>
              <w:r w:rsidR="00CD1E5C" w:rsidRPr="00F740BB">
                <w:rPr>
                  <w:rStyle w:val="Hyperlink"/>
                  <w:lang w:val="en-CA"/>
                </w:rPr>
                <w:t xml:space="preserve"> 2019</w:t>
              </w:r>
              <w:r w:rsidR="00375E18" w:rsidRPr="00F740BB">
                <w:rPr>
                  <w:rStyle w:val="Hyperlink"/>
                  <w:lang w:val="en-CA"/>
                </w:rPr>
                <w:t>–</w:t>
              </w:r>
              <w:r w:rsidR="00CD1E5C" w:rsidRPr="00F740BB">
                <w:rPr>
                  <w:rStyle w:val="Hyperlink"/>
                  <w:lang w:val="en-CA"/>
                </w:rPr>
                <w:t>2024</w:t>
              </w:r>
            </w:hyperlink>
            <w:r w:rsidR="00A921F0" w:rsidRPr="00F740BB">
              <w:rPr>
                <w:lang w:val="en-CA"/>
              </w:rPr>
              <w:t>. The action plan</w:t>
            </w:r>
            <w:r w:rsidR="0085679D" w:rsidRPr="00F740BB">
              <w:rPr>
                <w:lang w:val="en-CA"/>
              </w:rPr>
              <w:t xml:space="preserve"> provides a framework </w:t>
            </w:r>
            <w:r w:rsidR="00A921F0" w:rsidRPr="00F740BB">
              <w:rPr>
                <w:lang w:val="en-CA"/>
              </w:rPr>
              <w:t>for</w:t>
            </w:r>
            <w:r w:rsidR="00137815" w:rsidRPr="00F740BB">
              <w:rPr>
                <w:lang w:val="en-CA"/>
              </w:rPr>
              <w:t xml:space="preserve"> improv</w:t>
            </w:r>
            <w:r w:rsidR="00A921F0" w:rsidRPr="00F740BB">
              <w:rPr>
                <w:lang w:val="en-CA"/>
              </w:rPr>
              <w:t>ing Canada</w:t>
            </w:r>
            <w:r w:rsidR="00375E18" w:rsidRPr="00F740BB">
              <w:rPr>
                <w:lang w:val="en-CA"/>
              </w:rPr>
              <w:t>’</w:t>
            </w:r>
            <w:r w:rsidR="00A921F0" w:rsidRPr="00F740BB">
              <w:rPr>
                <w:lang w:val="en-CA"/>
              </w:rPr>
              <w:t>s</w:t>
            </w:r>
            <w:r w:rsidR="00137815" w:rsidRPr="00F740BB">
              <w:rPr>
                <w:lang w:val="en-CA"/>
              </w:rPr>
              <w:t xml:space="preserve"> cyber resilience</w:t>
            </w:r>
            <w:r w:rsidR="00A921F0" w:rsidRPr="00F740BB">
              <w:rPr>
                <w:lang w:val="en-CA"/>
              </w:rPr>
              <w:t xml:space="preserve"> and requires</w:t>
            </w:r>
            <w:r w:rsidR="00A16317" w:rsidRPr="00F740BB">
              <w:rPr>
                <w:lang w:val="en-CA"/>
              </w:rPr>
              <w:t xml:space="preserve"> the Royal Canadian Mounted Police (RCMP)</w:t>
            </w:r>
            <w:r w:rsidR="00A921F0" w:rsidRPr="00F740BB">
              <w:rPr>
                <w:lang w:val="en-CA"/>
              </w:rPr>
              <w:t xml:space="preserve"> – the country</w:t>
            </w:r>
            <w:r w:rsidR="00375E18" w:rsidRPr="00F740BB">
              <w:rPr>
                <w:lang w:val="en-CA"/>
              </w:rPr>
              <w:t>’</w:t>
            </w:r>
            <w:r w:rsidR="00A921F0" w:rsidRPr="00F740BB">
              <w:rPr>
                <w:lang w:val="en-CA"/>
              </w:rPr>
              <w:t>s</w:t>
            </w:r>
            <w:r w:rsidR="008F5D72" w:rsidRPr="00F740BB">
              <w:rPr>
                <w:lang w:val="en-CA"/>
              </w:rPr>
              <w:t xml:space="preserve"> national police </w:t>
            </w:r>
            <w:r w:rsidR="009A3368" w:rsidRPr="00F740BB">
              <w:rPr>
                <w:lang w:val="en-CA"/>
              </w:rPr>
              <w:t>service</w:t>
            </w:r>
            <w:r w:rsidR="00A921F0" w:rsidRPr="00F740BB">
              <w:rPr>
                <w:lang w:val="en-CA"/>
              </w:rPr>
              <w:t xml:space="preserve"> – to </w:t>
            </w:r>
            <w:r w:rsidR="00733E22" w:rsidRPr="00F740BB">
              <w:rPr>
                <w:lang w:val="en-CA"/>
              </w:rPr>
              <w:t xml:space="preserve">enhance its operational capacity to </w:t>
            </w:r>
            <w:r w:rsidR="00A16317" w:rsidRPr="00F740BB">
              <w:rPr>
                <w:lang w:val="en-CA"/>
              </w:rPr>
              <w:t>prevent</w:t>
            </w:r>
            <w:r w:rsidR="007856C1" w:rsidRPr="00F740BB">
              <w:rPr>
                <w:lang w:val="en-CA"/>
              </w:rPr>
              <w:t>, detect</w:t>
            </w:r>
            <w:r w:rsidR="00A16317" w:rsidRPr="00F740BB">
              <w:rPr>
                <w:lang w:val="en-CA"/>
              </w:rPr>
              <w:t xml:space="preserve"> and respond to </w:t>
            </w:r>
            <w:r w:rsidR="00733E22" w:rsidRPr="00F740BB">
              <w:rPr>
                <w:lang w:val="en-CA"/>
              </w:rPr>
              <w:t>cyber</w:t>
            </w:r>
            <w:r w:rsidR="00726553" w:rsidRPr="00F740BB">
              <w:rPr>
                <w:lang w:val="en-CA"/>
              </w:rPr>
              <w:t xml:space="preserve"> </w:t>
            </w:r>
            <w:r w:rsidR="00A16317" w:rsidRPr="00F740BB">
              <w:rPr>
                <w:lang w:val="en-CA"/>
              </w:rPr>
              <w:t>threats</w:t>
            </w:r>
            <w:r w:rsidR="00E2736F" w:rsidRPr="00F740BB">
              <w:rPr>
                <w:lang w:val="en-CA"/>
              </w:rPr>
              <w:t>, including by</w:t>
            </w:r>
            <w:r w:rsidR="00DB633E" w:rsidRPr="00F740BB">
              <w:rPr>
                <w:lang w:val="en-CA"/>
              </w:rPr>
              <w:t xml:space="preserve"> developing</w:t>
            </w:r>
            <w:r w:rsidR="008356C0" w:rsidRPr="00F740BB">
              <w:rPr>
                <w:lang w:val="en-CA"/>
              </w:rPr>
              <w:t xml:space="preserve"> </w:t>
            </w:r>
            <w:r w:rsidR="002C68A0" w:rsidRPr="00F740BB">
              <w:rPr>
                <w:lang w:val="en-CA"/>
              </w:rPr>
              <w:t xml:space="preserve">a </w:t>
            </w:r>
            <w:hyperlink r:id="rId31" w:history="1">
              <w:r w:rsidR="00A921F0" w:rsidRPr="00F740BB">
                <w:rPr>
                  <w:rStyle w:val="Hyperlink"/>
                  <w:lang w:val="en-CA"/>
                </w:rPr>
                <w:t>n</w:t>
              </w:r>
              <w:r w:rsidR="00E55D5E" w:rsidRPr="00F740BB">
                <w:rPr>
                  <w:rStyle w:val="Hyperlink"/>
                  <w:lang w:val="en-CA"/>
                </w:rPr>
                <w:t xml:space="preserve">ational </w:t>
              </w:r>
              <w:r w:rsidR="00A921F0" w:rsidRPr="00F740BB">
                <w:rPr>
                  <w:rStyle w:val="Hyperlink"/>
                  <w:lang w:val="en-CA"/>
                </w:rPr>
                <w:t>c</w:t>
              </w:r>
              <w:r w:rsidR="00E55D5E" w:rsidRPr="00F740BB">
                <w:rPr>
                  <w:rStyle w:val="Hyperlink"/>
                  <w:lang w:val="en-CA"/>
                </w:rPr>
                <w:t>yber</w:t>
              </w:r>
              <w:r w:rsidR="008F43C8">
                <w:rPr>
                  <w:rStyle w:val="Hyperlink"/>
                  <w:lang w:val="en-CA"/>
                </w:rPr>
                <w:t xml:space="preserve"> </w:t>
              </w:r>
              <w:r w:rsidR="00E55D5E" w:rsidRPr="00F740BB">
                <w:rPr>
                  <w:rStyle w:val="Hyperlink"/>
                  <w:lang w:val="en-CA"/>
                </w:rPr>
                <w:t xml:space="preserve">crime and </w:t>
              </w:r>
              <w:r w:rsidR="00A921F0" w:rsidRPr="00F740BB">
                <w:rPr>
                  <w:rStyle w:val="Hyperlink"/>
                  <w:lang w:val="en-CA"/>
                </w:rPr>
                <w:t>f</w:t>
              </w:r>
              <w:r w:rsidR="00E55D5E" w:rsidRPr="00F740BB">
                <w:rPr>
                  <w:rStyle w:val="Hyperlink"/>
                  <w:lang w:val="en-CA"/>
                </w:rPr>
                <w:t xml:space="preserve">raud </w:t>
              </w:r>
              <w:r w:rsidR="00A921F0" w:rsidRPr="00F740BB">
                <w:rPr>
                  <w:rStyle w:val="Hyperlink"/>
                  <w:lang w:val="en-CA"/>
                </w:rPr>
                <w:t>r</w:t>
              </w:r>
              <w:r w:rsidR="00E55D5E" w:rsidRPr="00F740BB">
                <w:rPr>
                  <w:rStyle w:val="Hyperlink"/>
                  <w:lang w:val="en-CA"/>
                </w:rPr>
                <w:t xml:space="preserve">eporting </w:t>
              </w:r>
              <w:r w:rsidR="00A921F0" w:rsidRPr="00F740BB">
                <w:rPr>
                  <w:rStyle w:val="Hyperlink"/>
                  <w:lang w:val="en-CA"/>
                </w:rPr>
                <w:t>s</w:t>
              </w:r>
              <w:r w:rsidR="00E55D5E" w:rsidRPr="00F740BB">
                <w:rPr>
                  <w:rStyle w:val="Hyperlink"/>
                  <w:lang w:val="en-CA"/>
                </w:rPr>
                <w:t>ystem</w:t>
              </w:r>
            </w:hyperlink>
            <w:r w:rsidR="002C68A0" w:rsidRPr="00F740BB">
              <w:rPr>
                <w:lang w:val="en-CA"/>
              </w:rPr>
              <w:t xml:space="preserve"> </w:t>
            </w:r>
            <w:r w:rsidR="00A921F0" w:rsidRPr="00F740BB">
              <w:rPr>
                <w:lang w:val="en-CA"/>
              </w:rPr>
              <w:t xml:space="preserve">that will </w:t>
            </w:r>
            <w:r w:rsidR="001C7371" w:rsidRPr="00F740BB">
              <w:rPr>
                <w:lang w:val="en-CA"/>
              </w:rPr>
              <w:t>mak</w:t>
            </w:r>
            <w:r w:rsidR="00A921F0" w:rsidRPr="00F740BB">
              <w:rPr>
                <w:lang w:val="en-CA"/>
              </w:rPr>
              <w:t>e</w:t>
            </w:r>
            <w:r w:rsidR="001C7371" w:rsidRPr="00F740BB">
              <w:rPr>
                <w:lang w:val="en-CA"/>
              </w:rPr>
              <w:t xml:space="preserve"> it easier for </w:t>
            </w:r>
            <w:r w:rsidR="00A921F0" w:rsidRPr="00F740BB">
              <w:rPr>
                <w:lang w:val="en-CA"/>
              </w:rPr>
              <w:t>people and firms</w:t>
            </w:r>
            <w:r w:rsidR="001C7371" w:rsidRPr="00F740BB">
              <w:rPr>
                <w:lang w:val="en-CA"/>
              </w:rPr>
              <w:t xml:space="preserve"> to report cybercrime and fraud</w:t>
            </w:r>
            <w:r w:rsidR="002C68A0" w:rsidRPr="00F740BB">
              <w:rPr>
                <w:lang w:val="en-CA"/>
              </w:rPr>
              <w:t>.</w:t>
            </w:r>
            <w:r w:rsidR="001C7371" w:rsidRPr="00F740BB">
              <w:rPr>
                <w:lang w:val="en-CA"/>
              </w:rPr>
              <w:t xml:space="preserve"> </w:t>
            </w:r>
            <w:r w:rsidR="00A921F0" w:rsidRPr="00F740BB">
              <w:rPr>
                <w:lang w:val="en-CA"/>
              </w:rPr>
              <w:t>Pilot testing of the system has started, and t</w:t>
            </w:r>
            <w:r w:rsidR="001C7371" w:rsidRPr="00F740BB">
              <w:rPr>
                <w:lang w:val="en-CA"/>
              </w:rPr>
              <w:t>he RCMP</w:t>
            </w:r>
            <w:r w:rsidR="00153565" w:rsidRPr="00F740BB">
              <w:rPr>
                <w:lang w:val="en-CA"/>
              </w:rPr>
              <w:t xml:space="preserve"> </w:t>
            </w:r>
            <w:r w:rsidR="002E71CE" w:rsidRPr="00F740BB">
              <w:rPr>
                <w:lang w:val="en-CA"/>
              </w:rPr>
              <w:t>ex</w:t>
            </w:r>
            <w:r w:rsidR="00BF50D3" w:rsidRPr="00F740BB">
              <w:rPr>
                <w:lang w:val="en-CA"/>
              </w:rPr>
              <w:t>p</w:t>
            </w:r>
            <w:r w:rsidR="002E71CE" w:rsidRPr="00F740BB">
              <w:rPr>
                <w:lang w:val="en-CA"/>
              </w:rPr>
              <w:t>e</w:t>
            </w:r>
            <w:r w:rsidR="00BF50D3" w:rsidRPr="00F740BB">
              <w:rPr>
                <w:lang w:val="en-CA"/>
              </w:rPr>
              <w:t>c</w:t>
            </w:r>
            <w:r w:rsidR="002E71CE" w:rsidRPr="00F740BB">
              <w:rPr>
                <w:lang w:val="en-CA"/>
              </w:rPr>
              <w:t>t</w:t>
            </w:r>
            <w:r w:rsidR="00153565" w:rsidRPr="00F740BB">
              <w:rPr>
                <w:lang w:val="en-CA"/>
              </w:rPr>
              <w:t>s</w:t>
            </w:r>
            <w:r w:rsidR="002E71CE" w:rsidRPr="00F740BB">
              <w:rPr>
                <w:lang w:val="en-CA"/>
              </w:rPr>
              <w:t xml:space="preserve"> the system to be fully in place by 2023</w:t>
            </w:r>
            <w:r w:rsidR="00A921F0" w:rsidRPr="00F740BB">
              <w:rPr>
                <w:lang w:val="en-CA"/>
              </w:rPr>
              <w:t>–</w:t>
            </w:r>
            <w:r w:rsidR="002E71CE" w:rsidRPr="00F740BB">
              <w:rPr>
                <w:lang w:val="en-CA"/>
              </w:rPr>
              <w:t>2024.</w:t>
            </w:r>
            <w:r w:rsidR="001C7371" w:rsidRPr="00F740BB">
              <w:rPr>
                <w:lang w:val="en-CA"/>
              </w:rPr>
              <w:t xml:space="preserve"> </w:t>
            </w:r>
          </w:p>
        </w:tc>
      </w:tr>
      <w:tr w:rsidR="009F14B4" w:rsidRPr="00F740BB" w14:paraId="2A789161" w14:textId="77777777" w:rsidTr="00816286">
        <w:tc>
          <w:tcPr>
            <w:tcW w:w="0" w:type="auto"/>
            <w:shd w:val="clear" w:color="auto" w:fill="F2F2F2" w:themeFill="background1" w:themeFillShade="F2"/>
          </w:tcPr>
          <w:p w14:paraId="6E0E8662" w14:textId="34341AF0" w:rsidR="009F14B4" w:rsidRPr="00F740BB" w:rsidRDefault="0031105D" w:rsidP="00E50BFA">
            <w:pPr>
              <w:pStyle w:val="Default"/>
              <w:numPr>
                <w:ilvl w:val="0"/>
                <w:numId w:val="1"/>
              </w:numPr>
              <w:spacing w:before="120" w:after="120"/>
              <w:rPr>
                <w:b/>
                <w:bCs/>
                <w:sz w:val="23"/>
                <w:szCs w:val="23"/>
                <w:lang w:val="en-CA"/>
              </w:rPr>
            </w:pPr>
            <w:r w:rsidRPr="00F740BB">
              <w:rPr>
                <w:b/>
                <w:bCs/>
                <w:lang w:val="en-CA"/>
              </w:rPr>
              <w:t xml:space="preserve">Encourage </w:t>
            </w:r>
            <w:r w:rsidRPr="00F740BB">
              <w:rPr>
                <w:lang w:val="en-CA"/>
              </w:rPr>
              <w:t>developed APPF Member Countries to provide technical and financial support for the less developed Member Countries in building necessary infrastructure to speed up their transition to digital economy;</w:t>
            </w:r>
          </w:p>
        </w:tc>
        <w:tc>
          <w:tcPr>
            <w:tcW w:w="0" w:type="auto"/>
          </w:tcPr>
          <w:p w14:paraId="0111D195" w14:textId="765FFFDD" w:rsidR="00C85E43" w:rsidRPr="00F740BB" w:rsidRDefault="00F07035" w:rsidP="00F740BB">
            <w:pPr>
              <w:spacing w:before="120" w:after="120" w:line="228" w:lineRule="auto"/>
              <w:rPr>
                <w:lang w:val="en-CA"/>
              </w:rPr>
            </w:pPr>
            <w:r w:rsidRPr="00F740BB">
              <w:rPr>
                <w:lang w:val="en-CA"/>
              </w:rPr>
              <w:t xml:space="preserve">As part of its international development policy, </w:t>
            </w:r>
            <w:r w:rsidR="00EC74B0" w:rsidRPr="00F740BB">
              <w:rPr>
                <w:lang w:val="en-CA"/>
              </w:rPr>
              <w:t xml:space="preserve">Canada </w:t>
            </w:r>
            <w:r w:rsidR="00564B9D" w:rsidRPr="00F740BB">
              <w:rPr>
                <w:lang w:val="en-CA"/>
              </w:rPr>
              <w:t xml:space="preserve">supports the </w:t>
            </w:r>
            <w:r w:rsidR="007856C1" w:rsidRPr="00F740BB">
              <w:rPr>
                <w:lang w:val="en-CA"/>
              </w:rPr>
              <w:t xml:space="preserve">growth </w:t>
            </w:r>
            <w:r w:rsidR="00564B9D" w:rsidRPr="00F740BB">
              <w:rPr>
                <w:lang w:val="en-CA"/>
              </w:rPr>
              <w:t xml:space="preserve">of the digital economy through </w:t>
            </w:r>
            <w:r w:rsidR="005375FF" w:rsidRPr="00F740BB">
              <w:rPr>
                <w:lang w:val="en-CA"/>
              </w:rPr>
              <w:t>several</w:t>
            </w:r>
            <w:r w:rsidR="00564B9D" w:rsidRPr="00F740BB">
              <w:rPr>
                <w:lang w:val="en-CA"/>
              </w:rPr>
              <w:t xml:space="preserve"> initiatives. </w:t>
            </w:r>
            <w:r w:rsidR="00452AB1" w:rsidRPr="00F740BB">
              <w:rPr>
                <w:lang w:val="en-CA"/>
              </w:rPr>
              <w:t xml:space="preserve">For example, </w:t>
            </w:r>
            <w:r w:rsidR="008E6777" w:rsidRPr="00F740BB">
              <w:rPr>
                <w:lang w:val="en-CA"/>
              </w:rPr>
              <w:t xml:space="preserve">in 2019–2020, Canada </w:t>
            </w:r>
            <w:hyperlink r:id="rId32" w:history="1">
              <w:r w:rsidR="008E6777" w:rsidRPr="00F740BB">
                <w:rPr>
                  <w:rStyle w:val="Hyperlink"/>
                  <w:lang w:val="en-CA"/>
                </w:rPr>
                <w:t>contributed</w:t>
              </w:r>
            </w:hyperlink>
            <w:r w:rsidR="008E6777" w:rsidRPr="00F740BB">
              <w:rPr>
                <w:lang w:val="en-CA"/>
              </w:rPr>
              <w:t xml:space="preserve"> to the </w:t>
            </w:r>
            <w:r w:rsidR="003E46CC" w:rsidRPr="00F740BB">
              <w:rPr>
                <w:lang w:val="en-CA"/>
              </w:rPr>
              <w:t>Asian Infrastructure Investment Bank</w:t>
            </w:r>
            <w:r w:rsidR="00375E18" w:rsidRPr="00F740BB">
              <w:rPr>
                <w:lang w:val="en-CA"/>
              </w:rPr>
              <w:t>’</w:t>
            </w:r>
            <w:r w:rsidR="003E46CC" w:rsidRPr="00F740BB">
              <w:rPr>
                <w:lang w:val="en-CA"/>
              </w:rPr>
              <w:t xml:space="preserve">s </w:t>
            </w:r>
            <w:r w:rsidR="008E6777" w:rsidRPr="00F740BB">
              <w:rPr>
                <w:lang w:val="en-CA"/>
              </w:rPr>
              <w:t>digital</w:t>
            </w:r>
            <w:r w:rsidRPr="00F740BB">
              <w:rPr>
                <w:lang w:val="en-CA"/>
              </w:rPr>
              <w:t xml:space="preserve"> </w:t>
            </w:r>
            <w:r w:rsidR="008E6777" w:rsidRPr="00F740BB">
              <w:rPr>
                <w:lang w:val="en-CA"/>
              </w:rPr>
              <w:t>infrastructure sector strategy</w:t>
            </w:r>
            <w:r w:rsidR="003E46CC" w:rsidRPr="00F740BB">
              <w:rPr>
                <w:lang w:val="en-CA"/>
              </w:rPr>
              <w:t xml:space="preserve"> </w:t>
            </w:r>
            <w:r w:rsidRPr="00F740BB">
              <w:rPr>
                <w:lang w:val="en-CA"/>
              </w:rPr>
              <w:t>and</w:t>
            </w:r>
            <w:r w:rsidR="003E46CC" w:rsidRPr="00F740BB">
              <w:rPr>
                <w:lang w:val="en-CA"/>
              </w:rPr>
              <w:t xml:space="preserve"> partnered with the </w:t>
            </w:r>
            <w:r w:rsidR="00C85E43" w:rsidRPr="00F740BB">
              <w:rPr>
                <w:lang w:val="en-CA"/>
              </w:rPr>
              <w:t>International Telecommunication Union to encourage girls and young women to enter careers in information and communications technology</w:t>
            </w:r>
            <w:r w:rsidRPr="00F740BB">
              <w:rPr>
                <w:lang w:val="en-CA"/>
              </w:rPr>
              <w:t xml:space="preserve"> (ICT). In that context, Canada has supported</w:t>
            </w:r>
            <w:r w:rsidR="007A26F3" w:rsidRPr="00F740BB">
              <w:rPr>
                <w:lang w:val="en-CA"/>
              </w:rPr>
              <w:t xml:space="preserve"> the</w:t>
            </w:r>
            <w:r w:rsidR="00C85E43" w:rsidRPr="00F740BB">
              <w:rPr>
                <w:lang w:val="en-CA"/>
              </w:rPr>
              <w:t> </w:t>
            </w:r>
            <w:hyperlink r:id="rId33" w:history="1">
              <w:r w:rsidR="00C85E43" w:rsidRPr="00F740BB">
                <w:rPr>
                  <w:rStyle w:val="Hyperlink"/>
                  <w:lang w:val="en-CA"/>
                </w:rPr>
                <w:t>International Girls in ICT Day</w:t>
              </w:r>
            </w:hyperlink>
            <w:r w:rsidRPr="00F740BB">
              <w:rPr>
                <w:lang w:val="en-CA"/>
              </w:rPr>
              <w:t xml:space="preserve"> and</w:t>
            </w:r>
            <w:r w:rsidR="00421011" w:rsidRPr="00F740BB">
              <w:rPr>
                <w:lang w:val="en-CA"/>
              </w:rPr>
              <w:t xml:space="preserve"> coding camps for young girls in Africa and the Americas organized by </w:t>
            </w:r>
            <w:r w:rsidR="00C85E43" w:rsidRPr="00F740BB">
              <w:rPr>
                <w:lang w:val="en-CA"/>
              </w:rPr>
              <w:t xml:space="preserve">UN Women, </w:t>
            </w:r>
            <w:r w:rsidRPr="00F740BB">
              <w:rPr>
                <w:lang w:val="en-CA"/>
              </w:rPr>
              <w:t>and has</w:t>
            </w:r>
            <w:r w:rsidR="00C85E43" w:rsidRPr="00F740BB">
              <w:rPr>
                <w:lang w:val="en-CA"/>
              </w:rPr>
              <w:t xml:space="preserve"> launched coding camps and ICT training.</w:t>
            </w:r>
          </w:p>
          <w:p w14:paraId="3E465004" w14:textId="4BA6E19F" w:rsidR="00BB333C" w:rsidRPr="00F740BB" w:rsidRDefault="00515A87" w:rsidP="00F740BB">
            <w:pPr>
              <w:spacing w:line="228" w:lineRule="auto"/>
              <w:rPr>
                <w:lang w:val="en-CA"/>
              </w:rPr>
            </w:pPr>
            <w:r w:rsidRPr="00F740BB">
              <w:rPr>
                <w:lang w:val="en-CA"/>
              </w:rPr>
              <w:t xml:space="preserve">Canada also supports </w:t>
            </w:r>
            <w:r w:rsidR="003E4CD3" w:rsidRPr="00F740BB">
              <w:rPr>
                <w:lang w:val="en-CA"/>
              </w:rPr>
              <w:t xml:space="preserve">digital transformation through </w:t>
            </w:r>
            <w:r w:rsidRPr="00F740BB">
              <w:rPr>
                <w:lang w:val="en-CA"/>
              </w:rPr>
              <w:t xml:space="preserve">capacity building. For instance, </w:t>
            </w:r>
            <w:r w:rsidR="00F07035" w:rsidRPr="00F740BB">
              <w:rPr>
                <w:lang w:val="en-CA"/>
              </w:rPr>
              <w:t xml:space="preserve">in </w:t>
            </w:r>
            <w:r w:rsidR="00B94F1E" w:rsidRPr="00F740BB">
              <w:rPr>
                <w:lang w:val="en-CA"/>
              </w:rPr>
              <w:t>April 2020</w:t>
            </w:r>
            <w:r w:rsidR="00F07035" w:rsidRPr="00F740BB">
              <w:rPr>
                <w:lang w:val="en-CA"/>
              </w:rPr>
              <w:t xml:space="preserve">, </w:t>
            </w:r>
            <w:r w:rsidR="00A946AB" w:rsidRPr="00F740BB">
              <w:rPr>
                <w:lang w:val="en-CA"/>
              </w:rPr>
              <w:t xml:space="preserve">Global Affairs Canada and the Digital Opportunity Trust </w:t>
            </w:r>
            <w:hyperlink r:id="rId34" w:history="1">
              <w:r w:rsidR="00A946AB" w:rsidRPr="00F740BB">
                <w:rPr>
                  <w:rStyle w:val="Hyperlink"/>
                  <w:lang w:val="en-CA"/>
                </w:rPr>
                <w:t>co-hosted</w:t>
              </w:r>
            </w:hyperlink>
            <w:r w:rsidR="00A946AB" w:rsidRPr="00F740BB">
              <w:rPr>
                <w:lang w:val="en-CA"/>
              </w:rPr>
              <w:t xml:space="preserve"> a session called </w:t>
            </w:r>
            <w:r w:rsidR="00375E18" w:rsidRPr="00F740BB">
              <w:rPr>
                <w:lang w:val="en-CA"/>
              </w:rPr>
              <w:t>“</w:t>
            </w:r>
            <w:r w:rsidR="00A946AB" w:rsidRPr="00F740BB">
              <w:rPr>
                <w:lang w:val="en-CA"/>
              </w:rPr>
              <w:t>Innovating During Crisis</w:t>
            </w:r>
            <w:r w:rsidR="00375E18" w:rsidRPr="00F740BB">
              <w:rPr>
                <w:lang w:val="en-CA"/>
              </w:rPr>
              <w:t xml:space="preserve">: </w:t>
            </w:r>
            <w:r w:rsidR="00A946AB" w:rsidRPr="00F740BB">
              <w:rPr>
                <w:lang w:val="en-CA"/>
              </w:rPr>
              <w:t>Lessons from the First 30 Days.</w:t>
            </w:r>
            <w:r w:rsidR="00375E18" w:rsidRPr="00F740BB">
              <w:rPr>
                <w:lang w:val="en-CA"/>
              </w:rPr>
              <w:t>”</w:t>
            </w:r>
            <w:r w:rsidR="00A946AB" w:rsidRPr="00F740BB">
              <w:rPr>
                <w:lang w:val="en-CA"/>
              </w:rPr>
              <w:t xml:space="preserve"> This event led to the sharing of innovative practices,</w:t>
            </w:r>
            <w:r w:rsidR="008B21F1" w:rsidRPr="00F740BB">
              <w:rPr>
                <w:lang w:val="en-CA"/>
              </w:rPr>
              <w:t xml:space="preserve"> new tools</w:t>
            </w:r>
            <w:r w:rsidR="00263C6B" w:rsidRPr="00F740BB">
              <w:rPr>
                <w:lang w:val="en-CA"/>
              </w:rPr>
              <w:t xml:space="preserve"> and</w:t>
            </w:r>
            <w:r w:rsidR="00A946AB" w:rsidRPr="00F740BB">
              <w:rPr>
                <w:lang w:val="en-CA"/>
              </w:rPr>
              <w:t xml:space="preserve"> challenges regarding how to continue to work toward </w:t>
            </w:r>
            <w:r w:rsidR="00F07035" w:rsidRPr="00F740BB">
              <w:rPr>
                <w:lang w:val="en-CA"/>
              </w:rPr>
              <w:t>achievement of the United Nations</w:t>
            </w:r>
            <w:r w:rsidR="00375E18" w:rsidRPr="00F740BB">
              <w:rPr>
                <w:lang w:val="en-CA"/>
              </w:rPr>
              <w:t>’</w:t>
            </w:r>
            <w:r w:rsidR="00F07035" w:rsidRPr="00F740BB">
              <w:rPr>
                <w:lang w:val="en-CA"/>
              </w:rPr>
              <w:t xml:space="preserve"> Sustainable Development Goals</w:t>
            </w:r>
            <w:r w:rsidR="00A946AB" w:rsidRPr="00F740BB">
              <w:rPr>
                <w:lang w:val="en-CA"/>
              </w:rPr>
              <w:t xml:space="preserve"> during the COVID-19 pandemic.</w:t>
            </w:r>
          </w:p>
        </w:tc>
      </w:tr>
      <w:tr w:rsidR="009F14B4" w:rsidRPr="00F740BB" w14:paraId="77F64A42" w14:textId="77777777" w:rsidTr="00816286">
        <w:tc>
          <w:tcPr>
            <w:tcW w:w="0" w:type="auto"/>
            <w:shd w:val="clear" w:color="auto" w:fill="F2F2F2" w:themeFill="background1" w:themeFillShade="F2"/>
          </w:tcPr>
          <w:p w14:paraId="6E6E0D9A" w14:textId="3D94D3FB" w:rsidR="009F14B4" w:rsidRPr="00F740BB" w:rsidRDefault="0031105D" w:rsidP="00E50BFA">
            <w:pPr>
              <w:pStyle w:val="Default"/>
              <w:numPr>
                <w:ilvl w:val="0"/>
                <w:numId w:val="1"/>
              </w:numPr>
              <w:spacing w:before="120" w:after="120"/>
              <w:rPr>
                <w:b/>
                <w:bCs/>
                <w:sz w:val="23"/>
                <w:szCs w:val="23"/>
                <w:lang w:val="en-CA"/>
              </w:rPr>
            </w:pPr>
            <w:r w:rsidRPr="00F740BB">
              <w:rPr>
                <w:b/>
                <w:bCs/>
                <w:lang w:val="en-CA"/>
              </w:rPr>
              <w:t xml:space="preserve">Recommend </w:t>
            </w:r>
            <w:r w:rsidRPr="00F740BB">
              <w:rPr>
                <w:lang w:val="en-CA"/>
              </w:rPr>
              <w:t>APPF Member Countries to make sure that regulations on the infringement of personal privacy and sensitive state information and cybersecurity threats, which can surface with the integration and sophistication of regional digital economy, can be integrated, transparent, predictable and rules-based while seeking to align and harmonize the regulatory frameworks among Member Countries and take a balanced approach between the regulations and digital business facilitation;</w:t>
            </w:r>
          </w:p>
        </w:tc>
        <w:tc>
          <w:tcPr>
            <w:tcW w:w="0" w:type="auto"/>
          </w:tcPr>
          <w:p w14:paraId="0F0CC535" w14:textId="686B5EB0" w:rsidR="00BB333C" w:rsidRPr="00F740BB" w:rsidRDefault="008068A8" w:rsidP="00F34BFC">
            <w:pPr>
              <w:rPr>
                <w:lang w:val="en-CA"/>
              </w:rPr>
            </w:pPr>
            <w:r w:rsidRPr="00F740BB">
              <w:rPr>
                <w:lang w:val="en-CA"/>
              </w:rPr>
              <w:t>In June</w:t>
            </w:r>
            <w:r w:rsidR="00EE63A9" w:rsidRPr="00F740BB">
              <w:rPr>
                <w:lang w:val="en-CA"/>
              </w:rPr>
              <w:t xml:space="preserve"> 2</w:t>
            </w:r>
            <w:r w:rsidR="00310DB8" w:rsidRPr="00F740BB">
              <w:rPr>
                <w:lang w:val="en-CA"/>
              </w:rPr>
              <w:t xml:space="preserve">022, the </w:t>
            </w:r>
            <w:r w:rsidRPr="00F740BB">
              <w:rPr>
                <w:lang w:val="en-CA"/>
              </w:rPr>
              <w:t>G</w:t>
            </w:r>
            <w:r w:rsidR="00310DB8" w:rsidRPr="00F740BB">
              <w:rPr>
                <w:lang w:val="en-CA"/>
              </w:rPr>
              <w:t xml:space="preserve">overnment </w:t>
            </w:r>
            <w:r w:rsidRPr="00F740BB">
              <w:rPr>
                <w:lang w:val="en-CA"/>
              </w:rPr>
              <w:t xml:space="preserve">of Canada </w:t>
            </w:r>
            <w:r w:rsidR="006C3772" w:rsidRPr="00F740BB">
              <w:rPr>
                <w:lang w:val="en-CA"/>
              </w:rPr>
              <w:t>introduced</w:t>
            </w:r>
            <w:r w:rsidR="004908EF" w:rsidRPr="00F740BB">
              <w:rPr>
                <w:lang w:val="en-CA"/>
              </w:rPr>
              <w:t xml:space="preserve"> </w:t>
            </w:r>
            <w:r w:rsidRPr="00F740BB">
              <w:rPr>
                <w:lang w:val="en-CA"/>
              </w:rPr>
              <w:t xml:space="preserve">two bills that address issues of personal privacy and cybersecurity. </w:t>
            </w:r>
            <w:r w:rsidR="00F07035" w:rsidRPr="00F740BB">
              <w:rPr>
                <w:lang w:val="en-CA"/>
              </w:rPr>
              <w:t>First,</w:t>
            </w:r>
            <w:r w:rsidR="00F34BFC" w:rsidRPr="00F740BB">
              <w:rPr>
                <w:lang w:val="en-CA"/>
              </w:rPr>
              <w:t xml:space="preserve"> </w:t>
            </w:r>
            <w:r w:rsidR="00F34BFC" w:rsidRPr="00F740BB">
              <w:rPr>
                <w:lang w:val="en-CA"/>
              </w:rPr>
              <w:br/>
            </w:r>
            <w:hyperlink r:id="rId35" w:history="1">
              <w:r w:rsidR="00134A1A" w:rsidRPr="00F740BB">
                <w:rPr>
                  <w:rStyle w:val="Hyperlink"/>
                  <w:lang w:val="en-CA"/>
                </w:rPr>
                <w:t>B</w:t>
              </w:r>
              <w:r w:rsidR="004908EF" w:rsidRPr="00F740BB">
                <w:rPr>
                  <w:rStyle w:val="Hyperlink"/>
                  <w:lang w:val="en-CA"/>
                </w:rPr>
                <w:t>ill</w:t>
              </w:r>
              <w:r w:rsidR="00134A1A" w:rsidRPr="00F740BB">
                <w:rPr>
                  <w:rStyle w:val="Hyperlink"/>
                  <w:lang w:val="en-CA"/>
                </w:rPr>
                <w:t xml:space="preserve"> C-27</w:t>
              </w:r>
              <w:r w:rsidR="004908EF" w:rsidRPr="00F740BB">
                <w:rPr>
                  <w:rStyle w:val="Hyperlink"/>
                  <w:lang w:val="en-CA"/>
                </w:rPr>
                <w:t xml:space="preserve">, </w:t>
              </w:r>
              <w:r w:rsidR="00E348E1" w:rsidRPr="00F740BB">
                <w:rPr>
                  <w:rStyle w:val="Hyperlink"/>
                  <w:lang w:val="en-CA"/>
                </w:rPr>
                <w:t>Digital Charter Implementation Act, 2022</w:t>
              </w:r>
            </w:hyperlink>
            <w:r w:rsidR="006C37BC" w:rsidRPr="00F740BB">
              <w:rPr>
                <w:lang w:val="en-CA"/>
              </w:rPr>
              <w:t xml:space="preserve"> (short title) w</w:t>
            </w:r>
            <w:r w:rsidR="00446E5E" w:rsidRPr="00F740BB">
              <w:rPr>
                <w:lang w:val="en-CA"/>
              </w:rPr>
              <w:t xml:space="preserve">ould </w:t>
            </w:r>
            <w:r w:rsidR="00C25139" w:rsidRPr="00F740BB">
              <w:rPr>
                <w:lang w:val="en-CA"/>
              </w:rPr>
              <w:t xml:space="preserve">establish rules to govern the protection of personal information by recognizing </w:t>
            </w:r>
            <w:r w:rsidR="006C37BC" w:rsidRPr="00F740BB">
              <w:rPr>
                <w:lang w:val="en-CA"/>
              </w:rPr>
              <w:t>individuals</w:t>
            </w:r>
            <w:r w:rsidR="00375E18" w:rsidRPr="00F740BB">
              <w:rPr>
                <w:lang w:val="en-CA"/>
              </w:rPr>
              <w:t>’</w:t>
            </w:r>
            <w:r w:rsidR="006C37BC" w:rsidRPr="00F740BB">
              <w:rPr>
                <w:lang w:val="en-CA"/>
              </w:rPr>
              <w:t xml:space="preserve"> </w:t>
            </w:r>
            <w:r w:rsidR="00C25139" w:rsidRPr="00F740BB">
              <w:rPr>
                <w:lang w:val="en-CA"/>
              </w:rPr>
              <w:t xml:space="preserve">right </w:t>
            </w:r>
            <w:r w:rsidR="006C37BC" w:rsidRPr="00F740BB">
              <w:rPr>
                <w:lang w:val="en-CA"/>
              </w:rPr>
              <w:t>to</w:t>
            </w:r>
            <w:r w:rsidR="00C25139" w:rsidRPr="00F740BB">
              <w:rPr>
                <w:lang w:val="en-CA"/>
              </w:rPr>
              <w:t xml:space="preserve"> privacy and organizations</w:t>
            </w:r>
            <w:r w:rsidR="00375E18" w:rsidRPr="00F740BB">
              <w:rPr>
                <w:lang w:val="en-CA"/>
              </w:rPr>
              <w:t>’</w:t>
            </w:r>
            <w:r w:rsidR="006C37BC" w:rsidRPr="00F740BB">
              <w:rPr>
                <w:lang w:val="en-CA"/>
              </w:rPr>
              <w:t xml:space="preserve"> need</w:t>
            </w:r>
            <w:r w:rsidR="00C25139" w:rsidRPr="00F740BB">
              <w:rPr>
                <w:lang w:val="en-CA"/>
              </w:rPr>
              <w:t xml:space="preserve"> to collect, use or disclose personal information</w:t>
            </w:r>
            <w:r w:rsidR="006D7FE1" w:rsidRPr="00F740BB">
              <w:rPr>
                <w:lang w:val="en-CA"/>
              </w:rPr>
              <w:t>.</w:t>
            </w:r>
            <w:r w:rsidR="00446E5E" w:rsidRPr="00F740BB">
              <w:rPr>
                <w:lang w:val="en-CA"/>
              </w:rPr>
              <w:t xml:space="preserve"> </w:t>
            </w:r>
            <w:r w:rsidR="006D7FE1" w:rsidRPr="00F740BB">
              <w:rPr>
                <w:lang w:val="en-CA"/>
              </w:rPr>
              <w:t xml:space="preserve">The bill would also </w:t>
            </w:r>
            <w:r w:rsidR="00446E5E" w:rsidRPr="00F740BB">
              <w:rPr>
                <w:lang w:val="en-CA"/>
              </w:rPr>
              <w:t xml:space="preserve">create new rules for the responsible development and use of artificial intelligence, </w:t>
            </w:r>
            <w:r w:rsidR="00537E58" w:rsidRPr="00F740BB">
              <w:rPr>
                <w:lang w:val="en-CA"/>
              </w:rPr>
              <w:t xml:space="preserve">and </w:t>
            </w:r>
            <w:r w:rsidR="00043711" w:rsidRPr="00F740BB">
              <w:rPr>
                <w:lang w:val="en-CA"/>
              </w:rPr>
              <w:t>creat</w:t>
            </w:r>
            <w:r w:rsidR="001046B6" w:rsidRPr="00F740BB">
              <w:rPr>
                <w:lang w:val="en-CA"/>
              </w:rPr>
              <w:t>e</w:t>
            </w:r>
            <w:r w:rsidR="00043711" w:rsidRPr="00F740BB">
              <w:rPr>
                <w:lang w:val="en-CA"/>
              </w:rPr>
              <w:t xml:space="preserve"> </w:t>
            </w:r>
            <w:r w:rsidR="00371BF5" w:rsidRPr="00F740BB">
              <w:rPr>
                <w:lang w:val="en-CA"/>
              </w:rPr>
              <w:t>a</w:t>
            </w:r>
            <w:r w:rsidR="006D7FE1" w:rsidRPr="00F740BB">
              <w:rPr>
                <w:lang w:val="en-CA"/>
              </w:rPr>
              <w:t xml:space="preserve"> </w:t>
            </w:r>
            <w:r w:rsidR="007856C1" w:rsidRPr="00F740BB">
              <w:rPr>
                <w:lang w:val="en-CA"/>
              </w:rPr>
              <w:t xml:space="preserve">personal information </w:t>
            </w:r>
            <w:r w:rsidR="006D7FE1" w:rsidRPr="00F740BB">
              <w:rPr>
                <w:lang w:val="en-CA"/>
              </w:rPr>
              <w:t xml:space="preserve">and </w:t>
            </w:r>
            <w:r w:rsidR="007856C1" w:rsidRPr="00F740BB">
              <w:rPr>
                <w:lang w:val="en-CA"/>
              </w:rPr>
              <w:t>data protection tribunal</w:t>
            </w:r>
            <w:r w:rsidR="00020946" w:rsidRPr="00F740BB">
              <w:rPr>
                <w:lang w:val="en-CA"/>
              </w:rPr>
              <w:t xml:space="preserve">. </w:t>
            </w:r>
            <w:r w:rsidR="006C37BC" w:rsidRPr="00F740BB">
              <w:rPr>
                <w:lang w:val="en-CA"/>
              </w:rPr>
              <w:t>As well, t</w:t>
            </w:r>
            <w:r w:rsidR="00020946" w:rsidRPr="00F740BB">
              <w:rPr>
                <w:lang w:val="en-CA"/>
              </w:rPr>
              <w:t>h</w:t>
            </w:r>
            <w:r w:rsidR="00F07035" w:rsidRPr="00F740BB">
              <w:rPr>
                <w:lang w:val="en-CA"/>
              </w:rPr>
              <w:t>e</w:t>
            </w:r>
            <w:r w:rsidR="00020946" w:rsidRPr="00F740BB">
              <w:rPr>
                <w:lang w:val="en-CA"/>
              </w:rPr>
              <w:t xml:space="preserve"> bill</w:t>
            </w:r>
            <w:r w:rsidR="00F07035" w:rsidRPr="00F740BB">
              <w:rPr>
                <w:lang w:val="en-CA"/>
              </w:rPr>
              <w:t xml:space="preserve"> would</w:t>
            </w:r>
            <w:r w:rsidR="00020946" w:rsidRPr="00F740BB">
              <w:rPr>
                <w:lang w:val="en-CA"/>
              </w:rPr>
              <w:t xml:space="preserve"> implement </w:t>
            </w:r>
            <w:hyperlink r:id="rId36" w:history="1">
              <w:r w:rsidR="001F3CE2" w:rsidRPr="00F740BB">
                <w:rPr>
                  <w:rStyle w:val="Hyperlink"/>
                  <w:lang w:val="en-CA"/>
                </w:rPr>
                <w:t>Canada</w:t>
              </w:r>
              <w:r w:rsidR="00375E18" w:rsidRPr="00F740BB">
                <w:rPr>
                  <w:rStyle w:val="Hyperlink"/>
                  <w:lang w:val="en-CA"/>
                </w:rPr>
                <w:t>’</w:t>
              </w:r>
              <w:r w:rsidR="001F3CE2" w:rsidRPr="00F740BB">
                <w:rPr>
                  <w:rStyle w:val="Hyperlink"/>
                  <w:lang w:val="en-CA"/>
                </w:rPr>
                <w:t>s Digital Charter</w:t>
              </w:r>
            </w:hyperlink>
            <w:r w:rsidR="00F07035" w:rsidRPr="00F740BB">
              <w:rPr>
                <w:lang w:val="en-CA"/>
              </w:rPr>
              <w:t xml:space="preserve">, </w:t>
            </w:r>
            <w:r w:rsidR="001F3CE2" w:rsidRPr="00F740BB">
              <w:rPr>
                <w:lang w:val="en-CA"/>
              </w:rPr>
              <w:t xml:space="preserve">which </w:t>
            </w:r>
            <w:r w:rsidR="00B419F7" w:rsidRPr="00F740BB">
              <w:rPr>
                <w:lang w:val="en-CA"/>
              </w:rPr>
              <w:t xml:space="preserve">sets out principles </w:t>
            </w:r>
            <w:r w:rsidR="00F07035" w:rsidRPr="00F740BB">
              <w:rPr>
                <w:lang w:val="en-CA"/>
              </w:rPr>
              <w:t xml:space="preserve">designed </w:t>
            </w:r>
            <w:r w:rsidR="00B419F7" w:rsidRPr="00F740BB">
              <w:rPr>
                <w:lang w:val="en-CA"/>
              </w:rPr>
              <w:t xml:space="preserve">to ensure that privacy is protected, data-driven innovation is human-centred, </w:t>
            </w:r>
            <w:r w:rsidR="006D7FE1" w:rsidRPr="00F740BB">
              <w:rPr>
                <w:lang w:val="en-CA"/>
              </w:rPr>
              <w:t xml:space="preserve">the digital and data-driven economy </w:t>
            </w:r>
            <w:r w:rsidR="006C37BC" w:rsidRPr="00F740BB">
              <w:rPr>
                <w:lang w:val="en-CA"/>
              </w:rPr>
              <w:t xml:space="preserve">is fostered, </w:t>
            </w:r>
            <w:r w:rsidR="006D7FE1" w:rsidRPr="00F740BB">
              <w:rPr>
                <w:lang w:val="en-CA"/>
              </w:rPr>
              <w:t>and a regulatory framework</w:t>
            </w:r>
            <w:r w:rsidR="006C37BC" w:rsidRPr="00F740BB">
              <w:rPr>
                <w:lang w:val="en-CA"/>
              </w:rPr>
              <w:t xml:space="preserve"> is established</w:t>
            </w:r>
            <w:r w:rsidR="00B419F7" w:rsidRPr="00F740BB">
              <w:rPr>
                <w:lang w:val="en-CA"/>
              </w:rPr>
              <w:t>.</w:t>
            </w:r>
            <w:r w:rsidR="00F07035" w:rsidRPr="00F740BB">
              <w:rPr>
                <w:lang w:val="en-CA"/>
              </w:rPr>
              <w:t xml:space="preserve"> Second, </w:t>
            </w:r>
            <w:hyperlink r:id="rId37" w:history="1">
              <w:r w:rsidRPr="00F740BB">
                <w:rPr>
                  <w:rStyle w:val="Hyperlink"/>
                  <w:lang w:val="en-CA"/>
                </w:rPr>
                <w:t>Bill C-26, An Act respecting cyber security, amending the Telecommunications Act and making consequential amendments to other Acts</w:t>
              </w:r>
            </w:hyperlink>
            <w:r w:rsidRPr="00F740BB">
              <w:rPr>
                <w:lang w:val="en-CA"/>
              </w:rPr>
              <w:t xml:space="preserve"> </w:t>
            </w:r>
            <w:r w:rsidR="00CA7631" w:rsidRPr="00F740BB">
              <w:rPr>
                <w:lang w:val="en-CA"/>
              </w:rPr>
              <w:t>would enhance</w:t>
            </w:r>
            <w:r w:rsidRPr="00F740BB">
              <w:rPr>
                <w:lang w:val="en-CA"/>
              </w:rPr>
              <w:t xml:space="preserve"> cybersecurity across </w:t>
            </w:r>
            <w:r w:rsidR="00CA7631" w:rsidRPr="00F740BB">
              <w:rPr>
                <w:lang w:val="en-CA"/>
              </w:rPr>
              <w:t>Canada</w:t>
            </w:r>
            <w:r w:rsidR="00375E18" w:rsidRPr="00F740BB">
              <w:rPr>
                <w:lang w:val="en-CA"/>
              </w:rPr>
              <w:t>’</w:t>
            </w:r>
            <w:r w:rsidR="00CA7631" w:rsidRPr="00F740BB">
              <w:rPr>
                <w:lang w:val="en-CA"/>
              </w:rPr>
              <w:t>s</w:t>
            </w:r>
            <w:r w:rsidRPr="00F740BB">
              <w:rPr>
                <w:lang w:val="en-CA"/>
              </w:rPr>
              <w:t xml:space="preserve"> financial, telecommunications, energy and transportation sectors. </w:t>
            </w:r>
            <w:r w:rsidR="00CA7631" w:rsidRPr="00F740BB">
              <w:rPr>
                <w:lang w:val="en-CA"/>
              </w:rPr>
              <w:t xml:space="preserve">Moreover, </w:t>
            </w:r>
            <w:r w:rsidR="006C37BC" w:rsidRPr="00F740BB">
              <w:rPr>
                <w:lang w:val="en-CA"/>
              </w:rPr>
              <w:t>the bill</w:t>
            </w:r>
            <w:r w:rsidRPr="00F740BB">
              <w:rPr>
                <w:lang w:val="en-CA"/>
              </w:rPr>
              <w:t xml:space="preserve"> would </w:t>
            </w:r>
            <w:r w:rsidR="00CA7631" w:rsidRPr="00F740BB">
              <w:rPr>
                <w:lang w:val="en-CA"/>
              </w:rPr>
              <w:t>give</w:t>
            </w:r>
            <w:r w:rsidRPr="00F740BB">
              <w:rPr>
                <w:lang w:val="en-CA"/>
              </w:rPr>
              <w:t xml:space="preserve"> the Government the legal authority to mandate any </w:t>
            </w:r>
            <w:r w:rsidR="00CA7631" w:rsidRPr="00F740BB">
              <w:rPr>
                <w:lang w:val="en-CA"/>
              </w:rPr>
              <w:t>actions needed</w:t>
            </w:r>
            <w:r w:rsidRPr="00F740BB">
              <w:rPr>
                <w:lang w:val="en-CA"/>
              </w:rPr>
              <w:t xml:space="preserve"> to secure Canada</w:t>
            </w:r>
            <w:r w:rsidR="00375E18" w:rsidRPr="00F740BB">
              <w:rPr>
                <w:lang w:val="en-CA"/>
              </w:rPr>
              <w:t>’</w:t>
            </w:r>
            <w:r w:rsidRPr="00F740BB">
              <w:rPr>
                <w:lang w:val="en-CA"/>
              </w:rPr>
              <w:t>s telecommunications system</w:t>
            </w:r>
            <w:r w:rsidR="00CA7631" w:rsidRPr="00F740BB">
              <w:rPr>
                <w:lang w:val="en-CA"/>
              </w:rPr>
              <w:t xml:space="preserve">; in this context, </w:t>
            </w:r>
            <w:r w:rsidRPr="00F740BB">
              <w:rPr>
                <w:lang w:val="en-CA"/>
              </w:rPr>
              <w:t xml:space="preserve">Canadian </w:t>
            </w:r>
            <w:r w:rsidR="00CA7631" w:rsidRPr="00F740BB">
              <w:rPr>
                <w:lang w:val="en-CA"/>
              </w:rPr>
              <w:t>firms could be prohibited</w:t>
            </w:r>
            <w:r w:rsidRPr="00F740BB">
              <w:rPr>
                <w:lang w:val="en-CA"/>
              </w:rPr>
              <w:t xml:space="preserve"> from using products and services from high-risk suppliers.</w:t>
            </w:r>
          </w:p>
        </w:tc>
      </w:tr>
      <w:tr w:rsidR="009F14B4" w:rsidRPr="00F740BB" w14:paraId="1CC537D0" w14:textId="77777777" w:rsidTr="00816286">
        <w:tc>
          <w:tcPr>
            <w:tcW w:w="0" w:type="auto"/>
            <w:shd w:val="clear" w:color="auto" w:fill="F2F2F2" w:themeFill="background1" w:themeFillShade="F2"/>
          </w:tcPr>
          <w:p w14:paraId="3E8BB52C" w14:textId="6F63C880" w:rsidR="009F14B4" w:rsidRPr="00F740BB" w:rsidRDefault="00F801C4" w:rsidP="008068A8">
            <w:pPr>
              <w:pStyle w:val="Default"/>
              <w:numPr>
                <w:ilvl w:val="0"/>
                <w:numId w:val="1"/>
              </w:numPr>
              <w:spacing w:before="120" w:after="120"/>
              <w:rPr>
                <w:b/>
                <w:bCs/>
                <w:sz w:val="23"/>
                <w:szCs w:val="23"/>
                <w:lang w:val="en-CA"/>
              </w:rPr>
            </w:pPr>
            <w:r w:rsidRPr="00F740BB">
              <w:rPr>
                <w:b/>
                <w:bCs/>
                <w:lang w:val="en-CA"/>
              </w:rPr>
              <w:t xml:space="preserve">Encourage </w:t>
            </w:r>
            <w:r w:rsidRPr="00F740BB">
              <w:rPr>
                <w:lang w:val="en-CA"/>
              </w:rPr>
              <w:t xml:space="preserve">APPF Member Parliaments to improve their competition laws to better capture anti-competitive practices in the digital markets, for example, by defining </w:t>
            </w:r>
            <w:r w:rsidR="00A22A7A" w:rsidRPr="00F740BB">
              <w:rPr>
                <w:lang w:val="en-CA"/>
              </w:rPr>
              <w:t>new relevant</w:t>
            </w:r>
            <w:r w:rsidRPr="00F740BB">
              <w:rPr>
                <w:lang w:val="en-CA"/>
              </w:rPr>
              <w:t xml:space="preserve"> concepts such as certain practices of digital platforms that harm competition;</w:t>
            </w:r>
          </w:p>
        </w:tc>
        <w:tc>
          <w:tcPr>
            <w:tcW w:w="0" w:type="auto"/>
          </w:tcPr>
          <w:p w14:paraId="10B221BE" w14:textId="030A49C7" w:rsidR="009F14B4" w:rsidRPr="00F740BB" w:rsidRDefault="00AB2839" w:rsidP="00E0088E">
            <w:pPr>
              <w:spacing w:before="120" w:after="120"/>
              <w:rPr>
                <w:lang w:val="en-CA"/>
              </w:rPr>
            </w:pPr>
            <w:r w:rsidRPr="00F740BB">
              <w:rPr>
                <w:lang w:val="en-CA"/>
              </w:rPr>
              <w:t xml:space="preserve">On </w:t>
            </w:r>
            <w:r w:rsidR="00CA7631" w:rsidRPr="00F740BB">
              <w:rPr>
                <w:lang w:val="en-CA"/>
              </w:rPr>
              <w:t xml:space="preserve">23 </w:t>
            </w:r>
            <w:r w:rsidR="00D90621" w:rsidRPr="00F740BB">
              <w:rPr>
                <w:lang w:val="en-CA"/>
              </w:rPr>
              <w:t xml:space="preserve">June 2022, </w:t>
            </w:r>
            <w:r w:rsidR="00CA7631" w:rsidRPr="00F740BB">
              <w:rPr>
                <w:lang w:val="en-CA"/>
              </w:rPr>
              <w:t>P</w:t>
            </w:r>
            <w:r w:rsidR="00D90621" w:rsidRPr="00F740BB">
              <w:rPr>
                <w:lang w:val="en-CA"/>
              </w:rPr>
              <w:t xml:space="preserve">arliament passed </w:t>
            </w:r>
            <w:hyperlink r:id="rId38" w:history="1">
              <w:r w:rsidR="00D90621" w:rsidRPr="00F740BB">
                <w:rPr>
                  <w:rStyle w:val="Hyperlink"/>
                  <w:lang w:val="en-CA"/>
                </w:rPr>
                <w:t>Bill C-19</w:t>
              </w:r>
              <w:r w:rsidR="00CA7631" w:rsidRPr="00F740BB">
                <w:rPr>
                  <w:rStyle w:val="Hyperlink"/>
                  <w:lang w:val="en-CA"/>
                </w:rPr>
                <w:t>,</w:t>
              </w:r>
              <w:r w:rsidR="00D90621" w:rsidRPr="00F740BB">
                <w:rPr>
                  <w:rStyle w:val="Hyperlink"/>
                  <w:lang w:val="en-CA"/>
                </w:rPr>
                <w:t xml:space="preserve"> Budget Implementation Act</w:t>
              </w:r>
            </w:hyperlink>
            <w:r w:rsidR="008F43C8" w:rsidRPr="008F43C8">
              <w:rPr>
                <w:rStyle w:val="Hyperlink"/>
                <w:lang w:val="en-CA"/>
              </w:rPr>
              <w:t>, 2022, No. 1</w:t>
            </w:r>
            <w:r w:rsidR="00D90621" w:rsidRPr="00F740BB">
              <w:rPr>
                <w:lang w:val="en-CA"/>
              </w:rPr>
              <w:t xml:space="preserve"> </w:t>
            </w:r>
            <w:r w:rsidR="00CA7631" w:rsidRPr="00F740BB">
              <w:rPr>
                <w:lang w:val="en-CA"/>
              </w:rPr>
              <w:t xml:space="preserve">(short title), </w:t>
            </w:r>
            <w:r w:rsidR="00D90621" w:rsidRPr="00F740BB">
              <w:rPr>
                <w:lang w:val="en-CA"/>
              </w:rPr>
              <w:t xml:space="preserve">which </w:t>
            </w:r>
            <w:r w:rsidR="00CA7631" w:rsidRPr="00F740BB">
              <w:rPr>
                <w:lang w:val="en-CA"/>
              </w:rPr>
              <w:t xml:space="preserve">– among other things – amends </w:t>
            </w:r>
            <w:r w:rsidR="00193F64" w:rsidRPr="00F740BB">
              <w:rPr>
                <w:lang w:val="en-CA"/>
              </w:rPr>
              <w:t>Canada</w:t>
            </w:r>
            <w:r w:rsidR="00375E18" w:rsidRPr="00F740BB">
              <w:rPr>
                <w:lang w:val="en-CA"/>
              </w:rPr>
              <w:t>’</w:t>
            </w:r>
            <w:r w:rsidR="00193F64" w:rsidRPr="00F740BB">
              <w:rPr>
                <w:lang w:val="en-CA"/>
              </w:rPr>
              <w:t xml:space="preserve">s </w:t>
            </w:r>
            <w:r w:rsidR="00193F64" w:rsidRPr="00F740BB">
              <w:rPr>
                <w:i/>
                <w:iCs/>
                <w:lang w:val="en-CA"/>
              </w:rPr>
              <w:t>Competition Act</w:t>
            </w:r>
            <w:r w:rsidR="00193F64" w:rsidRPr="00F740BB">
              <w:rPr>
                <w:lang w:val="en-CA"/>
              </w:rPr>
              <w:t xml:space="preserve">. </w:t>
            </w:r>
            <w:r w:rsidR="002B60E0" w:rsidRPr="00F740BB">
              <w:rPr>
                <w:lang w:val="en-CA"/>
              </w:rPr>
              <w:t>According to</w:t>
            </w:r>
            <w:r w:rsidR="00CA7631" w:rsidRPr="00F740BB">
              <w:rPr>
                <w:lang w:val="en-CA"/>
              </w:rPr>
              <w:t xml:space="preserve"> the</w:t>
            </w:r>
            <w:r w:rsidR="002B60E0" w:rsidRPr="00F740BB">
              <w:rPr>
                <w:lang w:val="en-CA"/>
              </w:rPr>
              <w:t xml:space="preserve"> </w:t>
            </w:r>
            <w:hyperlink r:id="rId39" w:history="1">
              <w:r w:rsidR="00CA7631" w:rsidRPr="00F740BB">
                <w:rPr>
                  <w:rStyle w:val="Hyperlink"/>
                  <w:lang w:val="en-CA"/>
                </w:rPr>
                <w:t>2022 federal b</w:t>
              </w:r>
              <w:r w:rsidR="002B60E0" w:rsidRPr="00F740BB">
                <w:rPr>
                  <w:rStyle w:val="Hyperlink"/>
                  <w:lang w:val="en-CA"/>
                </w:rPr>
                <w:t>udget</w:t>
              </w:r>
            </w:hyperlink>
            <w:r w:rsidR="002B60E0" w:rsidRPr="00F740BB">
              <w:rPr>
                <w:lang w:val="en-CA"/>
              </w:rPr>
              <w:t xml:space="preserve">, </w:t>
            </w:r>
            <w:r w:rsidR="00CA7631" w:rsidRPr="00F740BB">
              <w:rPr>
                <w:lang w:val="en-CA"/>
              </w:rPr>
              <w:t xml:space="preserve">in relation to the </w:t>
            </w:r>
            <w:r w:rsidR="00CA7631" w:rsidRPr="00F740BB">
              <w:rPr>
                <w:i/>
                <w:iCs/>
                <w:lang w:val="en-CA"/>
              </w:rPr>
              <w:t>Competition Act</w:t>
            </w:r>
            <w:r w:rsidR="00CA7631" w:rsidRPr="00F740BB">
              <w:rPr>
                <w:lang w:val="en-CA"/>
              </w:rPr>
              <w:t xml:space="preserve">, </w:t>
            </w:r>
            <w:r w:rsidR="002B60E0" w:rsidRPr="00F740BB">
              <w:rPr>
                <w:lang w:val="en-CA"/>
              </w:rPr>
              <w:t xml:space="preserve">the </w:t>
            </w:r>
            <w:r w:rsidR="00CA7631" w:rsidRPr="00F740BB">
              <w:rPr>
                <w:lang w:val="en-CA"/>
              </w:rPr>
              <w:t>bill</w:t>
            </w:r>
            <w:r w:rsidR="00375E18" w:rsidRPr="00F740BB">
              <w:rPr>
                <w:lang w:val="en-CA"/>
              </w:rPr>
              <w:t>’</w:t>
            </w:r>
            <w:r w:rsidR="00CA7631" w:rsidRPr="00F740BB">
              <w:rPr>
                <w:lang w:val="en-CA"/>
              </w:rPr>
              <w:t xml:space="preserve">s goal </w:t>
            </w:r>
            <w:r w:rsidR="002B60E0" w:rsidRPr="00F740BB">
              <w:rPr>
                <w:lang w:val="en-CA"/>
              </w:rPr>
              <w:t>was to ad</w:t>
            </w:r>
            <w:r w:rsidR="002E3AB4" w:rsidRPr="00F740BB">
              <w:rPr>
                <w:lang w:val="en-CA"/>
              </w:rPr>
              <w:t>a</w:t>
            </w:r>
            <w:r w:rsidR="002B60E0" w:rsidRPr="00F740BB">
              <w:rPr>
                <w:lang w:val="en-CA"/>
              </w:rPr>
              <w:t xml:space="preserve">pt </w:t>
            </w:r>
            <w:r w:rsidR="0046696C" w:rsidRPr="00F740BB">
              <w:rPr>
                <w:lang w:val="en-CA"/>
              </w:rPr>
              <w:t>the country</w:t>
            </w:r>
            <w:r w:rsidR="00375E18" w:rsidRPr="00F740BB">
              <w:rPr>
                <w:lang w:val="en-CA"/>
              </w:rPr>
              <w:t>’</w:t>
            </w:r>
            <w:r w:rsidR="0046696C" w:rsidRPr="00F740BB">
              <w:rPr>
                <w:lang w:val="en-CA"/>
              </w:rPr>
              <w:t xml:space="preserve">s </w:t>
            </w:r>
            <w:r w:rsidR="00CF6830" w:rsidRPr="00F740BB">
              <w:rPr>
                <w:lang w:val="en-CA"/>
              </w:rPr>
              <w:t xml:space="preserve">competition law </w:t>
            </w:r>
            <w:r w:rsidR="00375E18" w:rsidRPr="00F740BB">
              <w:rPr>
                <w:lang w:val="en-CA"/>
              </w:rPr>
              <w:t>“</w:t>
            </w:r>
            <w:r w:rsidR="002B60E0" w:rsidRPr="00F740BB">
              <w:rPr>
                <w:lang w:val="en-CA"/>
              </w:rPr>
              <w:t>to today</w:t>
            </w:r>
            <w:r w:rsidR="00375E18" w:rsidRPr="00F740BB">
              <w:rPr>
                <w:lang w:val="en-CA"/>
              </w:rPr>
              <w:t>’</w:t>
            </w:r>
            <w:r w:rsidR="002B60E0" w:rsidRPr="00F740BB">
              <w:rPr>
                <w:lang w:val="en-CA"/>
              </w:rPr>
              <w:t>s digital reality</w:t>
            </w:r>
            <w:r w:rsidR="00C322AE" w:rsidRPr="00F740BB">
              <w:rPr>
                <w:lang w:val="en-CA"/>
              </w:rPr>
              <w:t>.</w:t>
            </w:r>
            <w:r w:rsidR="00375E18" w:rsidRPr="00F740BB">
              <w:rPr>
                <w:lang w:val="en-CA"/>
              </w:rPr>
              <w:t>”</w:t>
            </w:r>
            <w:r w:rsidR="00872DFE" w:rsidRPr="00F740BB">
              <w:rPr>
                <w:lang w:val="en-CA"/>
              </w:rPr>
              <w:t xml:space="preserve"> </w:t>
            </w:r>
            <w:r w:rsidR="00E0088E" w:rsidRPr="00F740BB">
              <w:rPr>
                <w:lang w:val="en-CA"/>
              </w:rPr>
              <w:t xml:space="preserve">The </w:t>
            </w:r>
            <w:r w:rsidR="00BF57C6" w:rsidRPr="00F740BB">
              <w:rPr>
                <w:lang w:val="en-CA"/>
              </w:rPr>
              <w:t xml:space="preserve">bill </w:t>
            </w:r>
            <w:r w:rsidR="00E0088E" w:rsidRPr="00F740BB">
              <w:rPr>
                <w:lang w:val="en-CA"/>
              </w:rPr>
              <w:t xml:space="preserve">was </w:t>
            </w:r>
            <w:r w:rsidR="00CA7631" w:rsidRPr="00F740BB">
              <w:rPr>
                <w:lang w:val="en-CA"/>
              </w:rPr>
              <w:t>studied</w:t>
            </w:r>
            <w:r w:rsidR="00E0088E" w:rsidRPr="00F740BB">
              <w:rPr>
                <w:lang w:val="en-CA"/>
              </w:rPr>
              <w:t xml:space="preserve"> by the Standing </w:t>
            </w:r>
            <w:r w:rsidR="00AB428C" w:rsidRPr="00F740BB">
              <w:rPr>
                <w:lang w:val="en-CA"/>
              </w:rPr>
              <w:t xml:space="preserve">Senate </w:t>
            </w:r>
            <w:r w:rsidR="00E0088E" w:rsidRPr="00F740BB">
              <w:rPr>
                <w:lang w:val="en-CA"/>
              </w:rPr>
              <w:t>Committee on National Finance a</w:t>
            </w:r>
            <w:r w:rsidR="00CA7631" w:rsidRPr="00F740BB">
              <w:rPr>
                <w:lang w:val="en-CA"/>
              </w:rPr>
              <w:t>nd</w:t>
            </w:r>
            <w:r w:rsidR="00E0088E" w:rsidRPr="00F740BB">
              <w:rPr>
                <w:lang w:val="en-CA"/>
              </w:rPr>
              <w:t xml:space="preserve"> the House of Commons Standing Committee on Finance</w:t>
            </w:r>
            <w:r w:rsidR="00263C6B" w:rsidRPr="00F740BB">
              <w:rPr>
                <w:lang w:val="en-CA"/>
              </w:rPr>
              <w:t>, among others</w:t>
            </w:r>
            <w:r w:rsidR="00E0088E" w:rsidRPr="00F740BB">
              <w:rPr>
                <w:lang w:val="en-CA"/>
              </w:rPr>
              <w:t>.</w:t>
            </w:r>
          </w:p>
        </w:tc>
      </w:tr>
      <w:tr w:rsidR="009F14B4" w:rsidRPr="00F740BB" w14:paraId="18E2E1D5" w14:textId="77777777" w:rsidTr="00816286">
        <w:tc>
          <w:tcPr>
            <w:tcW w:w="0" w:type="auto"/>
            <w:shd w:val="clear" w:color="auto" w:fill="F2F2F2" w:themeFill="background1" w:themeFillShade="F2"/>
          </w:tcPr>
          <w:p w14:paraId="54FAEC78" w14:textId="0D146569" w:rsidR="009F14B4" w:rsidRPr="00F740BB" w:rsidRDefault="00F801C4" w:rsidP="00F740BB">
            <w:pPr>
              <w:pStyle w:val="ListParagraph"/>
              <w:pageBreakBefore/>
              <w:numPr>
                <w:ilvl w:val="0"/>
                <w:numId w:val="1"/>
              </w:numPr>
              <w:rPr>
                <w:rFonts w:ascii="Cambria" w:hAnsi="Cambria" w:cs="Cambria"/>
                <w:b/>
                <w:bCs/>
                <w:color w:val="000000"/>
                <w:sz w:val="23"/>
                <w:szCs w:val="23"/>
                <w:lang w:val="en-CA"/>
              </w:rPr>
            </w:pPr>
            <w:r w:rsidRPr="00F740BB">
              <w:rPr>
                <w:rFonts w:ascii="Cambria" w:hAnsi="Cambria" w:cs="Cambria"/>
                <w:b/>
                <w:bCs/>
                <w:color w:val="000000"/>
                <w:sz w:val="24"/>
                <w:szCs w:val="24"/>
                <w:lang w:val="en-CA"/>
              </w:rPr>
              <w:t xml:space="preserve">Encourage </w:t>
            </w:r>
            <w:r w:rsidRPr="00F740BB">
              <w:rPr>
                <w:rFonts w:ascii="Cambria" w:hAnsi="Cambria" w:cs="Cambria"/>
                <w:color w:val="000000"/>
                <w:sz w:val="24"/>
                <w:szCs w:val="24"/>
                <w:lang w:val="en-CA"/>
              </w:rPr>
              <w:t>APPF Member Countries to work to enhance their digital infrastructure to achieve the ultimate goal of universal connectivity that enables citizens in the region, especially those marginalized and vulnerable to digital divide, to benefit from digital connectivity and fully exercise their rights in digital space by providing them with affordable, safe and high quality Internet services and opportunities to learn basic digital skills at affordable or no cost and communicating the benefits of universal participation in the digital economy and its importance to achieving equality;</w:t>
            </w:r>
          </w:p>
        </w:tc>
        <w:tc>
          <w:tcPr>
            <w:tcW w:w="0" w:type="auto"/>
          </w:tcPr>
          <w:p w14:paraId="394EA37E" w14:textId="7E8D69D1" w:rsidR="00BB333C" w:rsidRPr="00F740BB" w:rsidRDefault="002B7231" w:rsidP="00375E18">
            <w:pPr>
              <w:rPr>
                <w:lang w:val="en-CA"/>
              </w:rPr>
            </w:pPr>
            <w:r w:rsidRPr="00F740BB">
              <w:rPr>
                <w:lang w:val="en-CA"/>
              </w:rPr>
              <w:t xml:space="preserve">In 2017, Canada released its </w:t>
            </w:r>
            <w:hyperlink r:id="rId40" w:history="1">
              <w:r w:rsidR="00987263" w:rsidRPr="00F740BB">
                <w:rPr>
                  <w:rStyle w:val="Hyperlink"/>
                  <w:lang w:val="en-CA"/>
                </w:rPr>
                <w:t>High-</w:t>
              </w:r>
              <w:r w:rsidR="008F43C8">
                <w:rPr>
                  <w:rStyle w:val="Hyperlink"/>
                  <w:lang w:val="en-CA"/>
                </w:rPr>
                <w:t>S</w:t>
              </w:r>
              <w:r w:rsidR="00987263" w:rsidRPr="00F740BB">
                <w:rPr>
                  <w:rStyle w:val="Hyperlink"/>
                  <w:lang w:val="en-CA"/>
                </w:rPr>
                <w:t>peed Access for All</w:t>
              </w:r>
              <w:r w:rsidR="00375E18" w:rsidRPr="00F740BB">
                <w:rPr>
                  <w:rStyle w:val="Hyperlink"/>
                  <w:lang w:val="en-CA"/>
                </w:rPr>
                <w:t xml:space="preserve">: </w:t>
              </w:r>
              <w:r w:rsidR="00987263" w:rsidRPr="00F740BB">
                <w:rPr>
                  <w:rStyle w:val="Hyperlink"/>
                  <w:lang w:val="en-CA"/>
                </w:rPr>
                <w:t>Canada</w:t>
              </w:r>
              <w:r w:rsidR="00375E18" w:rsidRPr="00F740BB">
                <w:rPr>
                  <w:rStyle w:val="Hyperlink"/>
                  <w:lang w:val="en-CA"/>
                </w:rPr>
                <w:t>’</w:t>
              </w:r>
              <w:r w:rsidR="00987263" w:rsidRPr="00F740BB">
                <w:rPr>
                  <w:rStyle w:val="Hyperlink"/>
                  <w:lang w:val="en-CA"/>
                </w:rPr>
                <w:t>s Connectivity Strategy</w:t>
              </w:r>
            </w:hyperlink>
            <w:r w:rsidR="00E67D48" w:rsidRPr="00F740BB">
              <w:rPr>
                <w:lang w:val="en-CA"/>
              </w:rPr>
              <w:t>.</w:t>
            </w:r>
            <w:r w:rsidR="00F553B0" w:rsidRPr="00F740BB">
              <w:rPr>
                <w:lang w:val="en-CA"/>
              </w:rPr>
              <w:t xml:space="preserve"> </w:t>
            </w:r>
            <w:r w:rsidR="00E67D48" w:rsidRPr="00F740BB">
              <w:rPr>
                <w:lang w:val="en-CA"/>
              </w:rPr>
              <w:t>T</w:t>
            </w:r>
            <w:r w:rsidR="00711BB1" w:rsidRPr="00F740BB">
              <w:rPr>
                <w:lang w:val="en-CA"/>
              </w:rPr>
              <w:t xml:space="preserve">he </w:t>
            </w:r>
            <w:r w:rsidR="00C322AE" w:rsidRPr="00F740BB">
              <w:rPr>
                <w:lang w:val="en-CA"/>
              </w:rPr>
              <w:t>s</w:t>
            </w:r>
            <w:r w:rsidR="00711BB1" w:rsidRPr="00F740BB">
              <w:rPr>
                <w:lang w:val="en-CA"/>
              </w:rPr>
              <w:t xml:space="preserve">trategy </w:t>
            </w:r>
            <w:r w:rsidR="00E67D48" w:rsidRPr="00F740BB">
              <w:rPr>
                <w:lang w:val="en-CA"/>
              </w:rPr>
              <w:t xml:space="preserve">aims </w:t>
            </w:r>
            <w:r w:rsidR="00711BB1" w:rsidRPr="00F740BB">
              <w:rPr>
                <w:lang w:val="en-CA"/>
              </w:rPr>
              <w:t xml:space="preserve">to deliver </w:t>
            </w:r>
            <w:r w:rsidR="00C31D98" w:rsidRPr="00F740BB">
              <w:rPr>
                <w:lang w:val="en-CA"/>
              </w:rPr>
              <w:t xml:space="preserve">high-speed </w:t>
            </w:r>
            <w:r w:rsidR="00711BB1" w:rsidRPr="00F740BB">
              <w:rPr>
                <w:lang w:val="en-CA"/>
              </w:rPr>
              <w:t xml:space="preserve">connectivity to 90% of Canadians by 2021, </w:t>
            </w:r>
            <w:r w:rsidR="00CA7631" w:rsidRPr="00F740BB">
              <w:rPr>
                <w:lang w:val="en-CA"/>
              </w:rPr>
              <w:t xml:space="preserve">to </w:t>
            </w:r>
            <w:r w:rsidR="00711BB1" w:rsidRPr="00F740BB">
              <w:rPr>
                <w:lang w:val="en-CA"/>
              </w:rPr>
              <w:t xml:space="preserve">95% of Canadians by 2026 and </w:t>
            </w:r>
            <w:r w:rsidR="00CA7631" w:rsidRPr="00F740BB">
              <w:rPr>
                <w:lang w:val="en-CA"/>
              </w:rPr>
              <w:t xml:space="preserve">to </w:t>
            </w:r>
            <w:r w:rsidR="00711BB1" w:rsidRPr="00F740BB">
              <w:rPr>
                <w:lang w:val="en-CA"/>
              </w:rPr>
              <w:t>the hardest-to-reach Canadians by 2030</w:t>
            </w:r>
            <w:r w:rsidR="00E67D48" w:rsidRPr="00F740BB">
              <w:rPr>
                <w:lang w:val="en-CA"/>
              </w:rPr>
              <w:t xml:space="preserve">. </w:t>
            </w:r>
            <w:r w:rsidR="00550BFE" w:rsidRPr="00F740BB">
              <w:rPr>
                <w:lang w:val="en-CA"/>
              </w:rPr>
              <w:t xml:space="preserve">The strategy </w:t>
            </w:r>
            <w:r w:rsidR="004751DF" w:rsidRPr="00F740BB">
              <w:rPr>
                <w:lang w:val="en-CA"/>
              </w:rPr>
              <w:t>acknowledges</w:t>
            </w:r>
            <w:r w:rsidR="00550BFE" w:rsidRPr="00F740BB">
              <w:rPr>
                <w:lang w:val="en-CA"/>
              </w:rPr>
              <w:t xml:space="preserve"> that access to high-speed </w:t>
            </w:r>
            <w:r w:rsidR="00CA7631" w:rsidRPr="00F740BB">
              <w:rPr>
                <w:lang w:val="en-CA"/>
              </w:rPr>
              <w:t>I</w:t>
            </w:r>
            <w:r w:rsidR="00550BFE" w:rsidRPr="00F740BB">
              <w:rPr>
                <w:lang w:val="en-CA"/>
              </w:rPr>
              <w:t>nternet is a challenge</w:t>
            </w:r>
            <w:r w:rsidR="00CA7631" w:rsidRPr="00F740BB">
              <w:rPr>
                <w:lang w:val="en-CA"/>
              </w:rPr>
              <w:t>,</w:t>
            </w:r>
            <w:r w:rsidR="00550BFE" w:rsidRPr="00F740BB">
              <w:rPr>
                <w:lang w:val="en-CA"/>
              </w:rPr>
              <w:t xml:space="preserve"> </w:t>
            </w:r>
            <w:r w:rsidR="00BF618A" w:rsidRPr="00F740BB">
              <w:rPr>
                <w:lang w:val="en-CA"/>
              </w:rPr>
              <w:t>particularly in rural and remote communities</w:t>
            </w:r>
            <w:r w:rsidR="004751DF" w:rsidRPr="00F740BB">
              <w:rPr>
                <w:lang w:val="en-CA"/>
              </w:rPr>
              <w:t xml:space="preserve"> and for </w:t>
            </w:r>
            <w:r w:rsidR="00CA7631" w:rsidRPr="00F740BB">
              <w:rPr>
                <w:lang w:val="en-CA"/>
              </w:rPr>
              <w:t>I</w:t>
            </w:r>
            <w:r w:rsidR="004751DF" w:rsidRPr="00F740BB">
              <w:rPr>
                <w:lang w:val="en-CA"/>
              </w:rPr>
              <w:t>ndigenous communities</w:t>
            </w:r>
            <w:r w:rsidR="00CA7631" w:rsidRPr="00F740BB">
              <w:rPr>
                <w:lang w:val="en-CA"/>
              </w:rPr>
              <w:t>,</w:t>
            </w:r>
            <w:r w:rsidR="00BA4413" w:rsidRPr="00F740BB">
              <w:rPr>
                <w:lang w:val="en-CA"/>
              </w:rPr>
              <w:t xml:space="preserve"> and considers affordability to be a particular </w:t>
            </w:r>
            <w:r w:rsidR="00C6062B" w:rsidRPr="00F740BB">
              <w:rPr>
                <w:lang w:val="en-CA"/>
              </w:rPr>
              <w:t>objective in connectivity programs</w:t>
            </w:r>
            <w:r w:rsidR="004751DF" w:rsidRPr="00F740BB">
              <w:rPr>
                <w:lang w:val="en-CA"/>
              </w:rPr>
              <w:t>.</w:t>
            </w:r>
            <w:r w:rsidR="004C6DA6" w:rsidRPr="00F740BB">
              <w:rPr>
                <w:lang w:val="en-CA"/>
              </w:rPr>
              <w:t xml:space="preserve"> </w:t>
            </w:r>
            <w:r w:rsidR="00F55888" w:rsidRPr="00F740BB">
              <w:rPr>
                <w:lang w:val="en-CA"/>
              </w:rPr>
              <w:t xml:space="preserve">According to the </w:t>
            </w:r>
            <w:hyperlink r:id="rId41" w:history="1">
              <w:r w:rsidR="00F55888" w:rsidRPr="00F740BB">
                <w:rPr>
                  <w:rStyle w:val="Hyperlink"/>
                  <w:lang w:val="en-CA"/>
                </w:rPr>
                <w:t xml:space="preserve">latest </w:t>
              </w:r>
              <w:r w:rsidR="0073146E" w:rsidRPr="00F740BB">
                <w:rPr>
                  <w:rStyle w:val="Hyperlink"/>
                  <w:lang w:val="en-CA"/>
                </w:rPr>
                <w:t xml:space="preserve">available </w:t>
              </w:r>
              <w:r w:rsidR="00F55888" w:rsidRPr="00F740BB">
                <w:rPr>
                  <w:rStyle w:val="Hyperlink"/>
                  <w:lang w:val="en-CA"/>
                </w:rPr>
                <w:t>data</w:t>
              </w:r>
            </w:hyperlink>
            <w:r w:rsidR="00F55888" w:rsidRPr="00F740BB">
              <w:rPr>
                <w:lang w:val="en-CA"/>
              </w:rPr>
              <w:t xml:space="preserve">, </w:t>
            </w:r>
            <w:r w:rsidR="0073146E" w:rsidRPr="00F740BB">
              <w:rPr>
                <w:lang w:val="en-CA"/>
              </w:rPr>
              <w:t xml:space="preserve">the share of </w:t>
            </w:r>
            <w:r w:rsidR="00880CEE" w:rsidRPr="00F740BB">
              <w:rPr>
                <w:lang w:val="en-CA"/>
              </w:rPr>
              <w:t xml:space="preserve">Canadian households with access to minimum Internet speeds of 50/10 </w:t>
            </w:r>
            <w:r w:rsidR="00CA7631" w:rsidRPr="00F740BB">
              <w:rPr>
                <w:lang w:val="en-CA"/>
              </w:rPr>
              <w:t>megabytes per second</w:t>
            </w:r>
            <w:r w:rsidR="00880CEE" w:rsidRPr="00F740BB">
              <w:rPr>
                <w:lang w:val="en-CA"/>
              </w:rPr>
              <w:t xml:space="preserve"> </w:t>
            </w:r>
            <w:r w:rsidR="00BF57C6" w:rsidRPr="00F740BB">
              <w:rPr>
                <w:lang w:val="en-CA"/>
              </w:rPr>
              <w:t xml:space="preserve">rose </w:t>
            </w:r>
            <w:r w:rsidR="00880CEE" w:rsidRPr="00F740BB">
              <w:rPr>
                <w:lang w:val="en-CA"/>
              </w:rPr>
              <w:t>from 84.1</w:t>
            </w:r>
            <w:r w:rsidR="00BF57C6" w:rsidRPr="00F740BB">
              <w:rPr>
                <w:lang w:val="en-CA"/>
              </w:rPr>
              <w:t>%</w:t>
            </w:r>
            <w:r w:rsidR="00880CEE" w:rsidRPr="00F740BB">
              <w:rPr>
                <w:lang w:val="en-CA"/>
              </w:rPr>
              <w:t xml:space="preserve"> </w:t>
            </w:r>
            <w:r w:rsidR="00CA7631" w:rsidRPr="00F740BB">
              <w:rPr>
                <w:lang w:val="en-CA"/>
              </w:rPr>
              <w:t xml:space="preserve">in 2017 </w:t>
            </w:r>
            <w:r w:rsidR="00880CEE" w:rsidRPr="00F740BB">
              <w:rPr>
                <w:lang w:val="en-CA"/>
              </w:rPr>
              <w:t xml:space="preserve">to 89.7% </w:t>
            </w:r>
            <w:r w:rsidR="00CA7631" w:rsidRPr="00F740BB">
              <w:rPr>
                <w:lang w:val="en-CA"/>
              </w:rPr>
              <w:t>in</w:t>
            </w:r>
            <w:r w:rsidR="00880CEE" w:rsidRPr="00F740BB">
              <w:rPr>
                <w:lang w:val="en-CA"/>
              </w:rPr>
              <w:t xml:space="preserve"> 2020</w:t>
            </w:r>
            <w:r w:rsidR="00BF57C6" w:rsidRPr="00F740BB">
              <w:rPr>
                <w:lang w:val="en-CA"/>
              </w:rPr>
              <w:t>;</w:t>
            </w:r>
            <w:r w:rsidR="00E408E3" w:rsidRPr="00F740BB">
              <w:rPr>
                <w:lang w:val="en-CA"/>
              </w:rPr>
              <w:t xml:space="preserve"> the improvement was mainly due to progress made in rural areas</w:t>
            </w:r>
            <w:r w:rsidR="00CA7631" w:rsidRPr="00F740BB">
              <w:rPr>
                <w:lang w:val="en-CA"/>
              </w:rPr>
              <w:t>,</w:t>
            </w:r>
            <w:r w:rsidR="00E408E3" w:rsidRPr="00F740BB">
              <w:rPr>
                <w:lang w:val="en-CA"/>
              </w:rPr>
              <w:t xml:space="preserve"> where th</w:t>
            </w:r>
            <w:r w:rsidR="00780B1C" w:rsidRPr="00F740BB">
              <w:rPr>
                <w:lang w:val="en-CA"/>
              </w:rPr>
              <w:t xml:space="preserve">e </w:t>
            </w:r>
            <w:r w:rsidR="00880CEE" w:rsidRPr="00F740BB">
              <w:rPr>
                <w:lang w:val="en-CA"/>
              </w:rPr>
              <w:t>share</w:t>
            </w:r>
            <w:r w:rsidR="00780B1C" w:rsidRPr="00F740BB">
              <w:rPr>
                <w:lang w:val="en-CA"/>
              </w:rPr>
              <w:t>s</w:t>
            </w:r>
            <w:r w:rsidR="00880CEE" w:rsidRPr="00F740BB">
              <w:rPr>
                <w:lang w:val="en-CA"/>
              </w:rPr>
              <w:t xml:space="preserve"> w</w:t>
            </w:r>
            <w:r w:rsidR="00780B1C" w:rsidRPr="00F740BB">
              <w:rPr>
                <w:lang w:val="en-CA"/>
              </w:rPr>
              <w:t>ere</w:t>
            </w:r>
            <w:r w:rsidR="00880CEE" w:rsidRPr="00F740BB">
              <w:rPr>
                <w:lang w:val="en-CA"/>
              </w:rPr>
              <w:t xml:space="preserve"> </w:t>
            </w:r>
            <w:r w:rsidR="005D41BA" w:rsidRPr="00F740BB">
              <w:rPr>
                <w:lang w:val="en-CA"/>
              </w:rPr>
              <w:t>37.2% in 2017 and 54.4% in 2020.</w:t>
            </w:r>
            <w:r w:rsidR="00033668" w:rsidRPr="00F740BB">
              <w:rPr>
                <w:lang w:val="en-CA"/>
              </w:rPr>
              <w:t xml:space="preserve"> </w:t>
            </w:r>
            <w:r w:rsidR="00BF57C6" w:rsidRPr="00F740BB">
              <w:rPr>
                <w:lang w:val="en-CA"/>
              </w:rPr>
              <w:t xml:space="preserve">Past federal initiatives </w:t>
            </w:r>
            <w:r w:rsidR="00CA7631" w:rsidRPr="00F740BB">
              <w:rPr>
                <w:lang w:val="en-CA"/>
              </w:rPr>
              <w:t xml:space="preserve">designed </w:t>
            </w:r>
            <w:r w:rsidR="007379DF" w:rsidRPr="00F740BB">
              <w:rPr>
                <w:lang w:val="en-CA"/>
              </w:rPr>
              <w:t>to improve access to high</w:t>
            </w:r>
            <w:r w:rsidR="00375E18" w:rsidRPr="00F740BB">
              <w:rPr>
                <w:lang w:val="en-CA"/>
              </w:rPr>
              <w:noBreakHyphen/>
            </w:r>
            <w:r w:rsidR="007379DF" w:rsidRPr="00F740BB">
              <w:rPr>
                <w:lang w:val="en-CA"/>
              </w:rPr>
              <w:t xml:space="preserve">speed </w:t>
            </w:r>
            <w:r w:rsidR="00BF57C6" w:rsidRPr="00F740BB">
              <w:rPr>
                <w:lang w:val="en-CA"/>
              </w:rPr>
              <w:t>I</w:t>
            </w:r>
            <w:r w:rsidR="007379DF" w:rsidRPr="00F740BB">
              <w:rPr>
                <w:lang w:val="en-CA"/>
              </w:rPr>
              <w:t xml:space="preserve">nternet </w:t>
            </w:r>
            <w:r w:rsidR="00BF57C6" w:rsidRPr="00F740BB">
              <w:rPr>
                <w:lang w:val="en-CA"/>
              </w:rPr>
              <w:t xml:space="preserve">include </w:t>
            </w:r>
            <w:hyperlink r:id="rId42" w:history="1">
              <w:r w:rsidR="001074DA" w:rsidRPr="00F740BB">
                <w:rPr>
                  <w:rStyle w:val="Hyperlink"/>
                  <w:lang w:val="en-CA"/>
                </w:rPr>
                <w:t xml:space="preserve">Universal </w:t>
              </w:r>
              <w:r w:rsidR="007379DF" w:rsidRPr="00F740BB">
                <w:rPr>
                  <w:rStyle w:val="Hyperlink"/>
                  <w:lang w:val="en-CA"/>
                </w:rPr>
                <w:t>Broadband</w:t>
              </w:r>
            </w:hyperlink>
            <w:r w:rsidR="008F43C8">
              <w:rPr>
                <w:rStyle w:val="Hyperlink"/>
                <w:lang w:val="en-CA"/>
              </w:rPr>
              <w:t xml:space="preserve"> Fund</w:t>
            </w:r>
            <w:r w:rsidR="007379DF" w:rsidRPr="00F740BB">
              <w:rPr>
                <w:lang w:val="en-CA"/>
              </w:rPr>
              <w:t>,</w:t>
            </w:r>
            <w:r w:rsidR="00CA7631" w:rsidRPr="00F740BB">
              <w:rPr>
                <w:lang w:val="en-CA"/>
              </w:rPr>
              <w:t xml:space="preserve"> the</w:t>
            </w:r>
            <w:r w:rsidR="007379DF" w:rsidRPr="00F740BB">
              <w:rPr>
                <w:lang w:val="en-CA"/>
              </w:rPr>
              <w:t xml:space="preserve"> </w:t>
            </w:r>
            <w:hyperlink r:id="rId43" w:history="1">
              <w:r w:rsidR="00E070FE" w:rsidRPr="00F740BB">
                <w:rPr>
                  <w:rStyle w:val="Hyperlink"/>
                  <w:lang w:val="en-CA"/>
                </w:rPr>
                <w:t>CRTC</w:t>
              </w:r>
              <w:r w:rsidR="00375E18" w:rsidRPr="00F740BB">
                <w:rPr>
                  <w:rStyle w:val="Hyperlink"/>
                  <w:lang w:val="en-CA"/>
                </w:rPr>
                <w:t>’</w:t>
              </w:r>
              <w:r w:rsidR="00E070FE" w:rsidRPr="00F740BB">
                <w:rPr>
                  <w:rStyle w:val="Hyperlink"/>
                  <w:lang w:val="en-CA"/>
                </w:rPr>
                <w:t>s Broadband</w:t>
              </w:r>
            </w:hyperlink>
            <w:r w:rsidR="008F43C8">
              <w:rPr>
                <w:rStyle w:val="Hyperlink"/>
                <w:lang w:val="en-CA"/>
              </w:rPr>
              <w:t xml:space="preserve"> Fun</w:t>
            </w:r>
            <w:r w:rsidR="00BF57C6" w:rsidRPr="00F740BB">
              <w:rPr>
                <w:lang w:val="en-CA"/>
              </w:rPr>
              <w:t xml:space="preserve">, </w:t>
            </w:r>
            <w:hyperlink r:id="rId44" w:history="1">
              <w:r w:rsidR="00E070FE" w:rsidRPr="00F740BB">
                <w:rPr>
                  <w:rStyle w:val="Hyperlink"/>
                  <w:lang w:val="en-CA"/>
                </w:rPr>
                <w:t>Connect to Innovate</w:t>
              </w:r>
            </w:hyperlink>
            <w:r w:rsidR="00E070FE" w:rsidRPr="00F740BB">
              <w:rPr>
                <w:lang w:val="en-CA"/>
              </w:rPr>
              <w:t xml:space="preserve"> </w:t>
            </w:r>
            <w:r w:rsidR="0023593A" w:rsidRPr="00F740BB">
              <w:rPr>
                <w:lang w:val="en-CA"/>
              </w:rPr>
              <w:t xml:space="preserve">and </w:t>
            </w:r>
            <w:hyperlink r:id="rId45" w:history="1">
              <w:r w:rsidR="0023593A" w:rsidRPr="00F740BB">
                <w:rPr>
                  <w:rStyle w:val="Hyperlink"/>
                  <w:lang w:val="en-CA"/>
                </w:rPr>
                <w:t>Connecting Canadians</w:t>
              </w:r>
            </w:hyperlink>
            <w:r w:rsidR="004100C5" w:rsidRPr="00F740BB">
              <w:rPr>
                <w:lang w:val="en-CA"/>
              </w:rPr>
              <w:t>.</w:t>
            </w:r>
            <w:r w:rsidR="00F32917" w:rsidRPr="00F740BB">
              <w:rPr>
                <w:lang w:val="en-CA"/>
              </w:rPr>
              <w:t xml:space="preserve"> </w:t>
            </w:r>
            <w:r w:rsidR="00CA7631" w:rsidRPr="00F740BB">
              <w:rPr>
                <w:lang w:val="en-CA"/>
              </w:rPr>
              <w:t>This year, the Government of Canada</w:t>
            </w:r>
            <w:r w:rsidR="00F32917" w:rsidRPr="00F740BB">
              <w:rPr>
                <w:lang w:val="en-CA"/>
              </w:rPr>
              <w:t xml:space="preserve"> </w:t>
            </w:r>
            <w:hyperlink r:id="rId46" w:history="1">
              <w:r w:rsidR="00F32917" w:rsidRPr="00F740BB">
                <w:rPr>
                  <w:rStyle w:val="Hyperlink"/>
                  <w:lang w:val="en-CA"/>
                </w:rPr>
                <w:t>announced</w:t>
              </w:r>
            </w:hyperlink>
            <w:r w:rsidR="00F32917" w:rsidRPr="00F740BB">
              <w:rPr>
                <w:lang w:val="en-CA"/>
              </w:rPr>
              <w:t xml:space="preserve"> that it </w:t>
            </w:r>
            <w:r w:rsidR="00CA7631" w:rsidRPr="00F740BB">
              <w:rPr>
                <w:lang w:val="en-CA"/>
              </w:rPr>
              <w:t xml:space="preserve">had </w:t>
            </w:r>
            <w:r w:rsidR="00F32917" w:rsidRPr="00F740BB">
              <w:rPr>
                <w:lang w:val="en-CA"/>
              </w:rPr>
              <w:t>met its target of reducing the costs of mid-range wireless plans by 25% over two years.</w:t>
            </w:r>
          </w:p>
        </w:tc>
      </w:tr>
      <w:tr w:rsidR="009F14B4" w:rsidRPr="00F740BB" w14:paraId="10C77340" w14:textId="77777777" w:rsidTr="00816286">
        <w:tc>
          <w:tcPr>
            <w:tcW w:w="0" w:type="auto"/>
            <w:shd w:val="clear" w:color="auto" w:fill="F2F2F2" w:themeFill="background1" w:themeFillShade="F2"/>
          </w:tcPr>
          <w:p w14:paraId="52FE5FAD" w14:textId="6ECBBC25" w:rsidR="009F14B4" w:rsidRPr="00F740BB" w:rsidRDefault="00F801C4" w:rsidP="00E50BFA">
            <w:pPr>
              <w:pStyle w:val="Default"/>
              <w:numPr>
                <w:ilvl w:val="0"/>
                <w:numId w:val="1"/>
              </w:numPr>
              <w:spacing w:before="120" w:after="120"/>
              <w:rPr>
                <w:b/>
                <w:bCs/>
                <w:sz w:val="23"/>
                <w:szCs w:val="23"/>
                <w:lang w:val="en-CA"/>
              </w:rPr>
            </w:pPr>
            <w:r w:rsidRPr="00F740BB">
              <w:rPr>
                <w:b/>
                <w:bCs/>
                <w:lang w:val="en-CA"/>
              </w:rPr>
              <w:t xml:space="preserve">Encourage </w:t>
            </w:r>
            <w:r w:rsidRPr="00F740BB">
              <w:rPr>
                <w:lang w:val="en-CA"/>
              </w:rPr>
              <w:t>APPF Member Countries to consider ways of improving data exchange and infrastructure to make the data more convenient to use so that data-based policy making, project implementation and academic research can be facilitated, while ensuring compliance with requirements of national laws and regulations;</w:t>
            </w:r>
          </w:p>
        </w:tc>
        <w:tc>
          <w:tcPr>
            <w:tcW w:w="0" w:type="auto"/>
          </w:tcPr>
          <w:p w14:paraId="03A94BA4" w14:textId="5F53D127" w:rsidR="00664560" w:rsidRPr="00F740BB" w:rsidRDefault="00664560" w:rsidP="007A3FDC">
            <w:pPr>
              <w:spacing w:before="120" w:after="120"/>
              <w:rPr>
                <w:lang w:val="en-CA"/>
              </w:rPr>
            </w:pPr>
            <w:r w:rsidRPr="00F740BB">
              <w:rPr>
                <w:lang w:val="en-CA"/>
              </w:rPr>
              <w:t>Statistics Canada</w:t>
            </w:r>
            <w:r w:rsidR="00CA7631" w:rsidRPr="00F740BB">
              <w:rPr>
                <w:lang w:val="en-CA"/>
              </w:rPr>
              <w:t xml:space="preserve"> –</w:t>
            </w:r>
            <w:r w:rsidRPr="00F740BB">
              <w:rPr>
                <w:lang w:val="en-CA"/>
              </w:rPr>
              <w:t xml:space="preserve"> Canada</w:t>
            </w:r>
            <w:r w:rsidR="00375E18" w:rsidRPr="00F740BB">
              <w:rPr>
                <w:lang w:val="en-CA"/>
              </w:rPr>
              <w:t>’</w:t>
            </w:r>
            <w:r w:rsidRPr="00F740BB">
              <w:rPr>
                <w:lang w:val="en-CA"/>
              </w:rPr>
              <w:t>s national statistical office</w:t>
            </w:r>
            <w:r w:rsidR="00CA7631" w:rsidRPr="00F740BB">
              <w:rPr>
                <w:lang w:val="en-CA"/>
              </w:rPr>
              <w:t xml:space="preserve"> –</w:t>
            </w:r>
            <w:r w:rsidRPr="00F740BB">
              <w:rPr>
                <w:lang w:val="en-CA"/>
              </w:rPr>
              <w:t xml:space="preserve"> has published and implemented its </w:t>
            </w:r>
            <w:hyperlink r:id="rId47" w:history="1">
              <w:r w:rsidRPr="00F740BB">
                <w:rPr>
                  <w:rStyle w:val="Hyperlink"/>
                  <w:lang w:val="en-CA"/>
                </w:rPr>
                <w:t xml:space="preserve">Data </w:t>
              </w:r>
              <w:r w:rsidR="004B121F" w:rsidRPr="00F740BB">
                <w:rPr>
                  <w:rStyle w:val="Hyperlink"/>
                  <w:lang w:val="en-CA"/>
                </w:rPr>
                <w:t>S</w:t>
              </w:r>
              <w:r w:rsidRPr="00F740BB">
                <w:rPr>
                  <w:rStyle w:val="Hyperlink"/>
                  <w:lang w:val="en-CA"/>
                </w:rPr>
                <w:t>trategy</w:t>
              </w:r>
            </w:hyperlink>
            <w:r w:rsidRPr="00F740BB">
              <w:rPr>
                <w:lang w:val="en-CA"/>
              </w:rPr>
              <w:t xml:space="preserve"> for </w:t>
            </w:r>
            <w:r w:rsidR="00BF57C6" w:rsidRPr="00F740BB">
              <w:rPr>
                <w:lang w:val="en-CA"/>
              </w:rPr>
              <w:t xml:space="preserve">the </w:t>
            </w:r>
            <w:r w:rsidRPr="00F740BB">
              <w:rPr>
                <w:lang w:val="en-CA"/>
              </w:rPr>
              <w:t>years 2019 to 2022. Its goal is to ensure the availability of high-quality, trusted data to inform government programs and services</w:t>
            </w:r>
            <w:r w:rsidR="00034C7A" w:rsidRPr="00F740BB">
              <w:rPr>
                <w:lang w:val="en-CA"/>
              </w:rPr>
              <w:t xml:space="preserve"> at the federal, </w:t>
            </w:r>
            <w:r w:rsidR="00726553" w:rsidRPr="00F740BB">
              <w:rPr>
                <w:lang w:val="en-CA"/>
              </w:rPr>
              <w:t>provincial</w:t>
            </w:r>
            <w:r w:rsidR="0046696C" w:rsidRPr="00F740BB">
              <w:rPr>
                <w:lang w:val="en-CA"/>
              </w:rPr>
              <w:t>/territorial</w:t>
            </w:r>
            <w:r w:rsidR="00034C7A" w:rsidRPr="00F740BB">
              <w:rPr>
                <w:lang w:val="en-CA"/>
              </w:rPr>
              <w:t xml:space="preserve"> and municipal level</w:t>
            </w:r>
            <w:r w:rsidR="0046696C" w:rsidRPr="00F740BB">
              <w:rPr>
                <w:lang w:val="en-CA"/>
              </w:rPr>
              <w:t>s</w:t>
            </w:r>
            <w:r w:rsidRPr="00F740BB">
              <w:rPr>
                <w:lang w:val="en-CA"/>
              </w:rPr>
              <w:t xml:space="preserve"> to support data-driven policy decisions. </w:t>
            </w:r>
            <w:r w:rsidR="00034C7A" w:rsidRPr="00F740BB">
              <w:rPr>
                <w:lang w:val="en-CA"/>
              </w:rPr>
              <w:t xml:space="preserve">It also aims </w:t>
            </w:r>
            <w:r w:rsidR="00946678" w:rsidRPr="00F740BB">
              <w:rPr>
                <w:lang w:val="en-CA"/>
              </w:rPr>
              <w:t>to</w:t>
            </w:r>
            <w:r w:rsidR="00034C7A" w:rsidRPr="00F740BB">
              <w:rPr>
                <w:lang w:val="en-CA"/>
              </w:rPr>
              <w:t xml:space="preserve"> provid</w:t>
            </w:r>
            <w:r w:rsidR="00946678" w:rsidRPr="00F740BB">
              <w:rPr>
                <w:lang w:val="en-CA"/>
              </w:rPr>
              <w:t>e</w:t>
            </w:r>
            <w:r w:rsidR="00034C7A" w:rsidRPr="00F740BB">
              <w:rPr>
                <w:lang w:val="en-CA"/>
              </w:rPr>
              <w:t xml:space="preserve"> reliable data to support the work of non-government organizations, the private sector and academia. </w:t>
            </w:r>
            <w:r w:rsidRPr="00F740BB">
              <w:rPr>
                <w:lang w:val="en-CA"/>
              </w:rPr>
              <w:t>The strategy</w:t>
            </w:r>
            <w:r w:rsidR="00375E18" w:rsidRPr="00F740BB">
              <w:rPr>
                <w:lang w:val="en-CA"/>
              </w:rPr>
              <w:t>’</w:t>
            </w:r>
            <w:r w:rsidR="00BF57C6" w:rsidRPr="00F740BB">
              <w:rPr>
                <w:lang w:val="en-CA"/>
              </w:rPr>
              <w:t>s</w:t>
            </w:r>
            <w:r w:rsidRPr="00F740BB">
              <w:rPr>
                <w:lang w:val="en-CA"/>
              </w:rPr>
              <w:t xml:space="preserve"> objectives include producing more timely and responsive statistics, releasing more </w:t>
            </w:r>
            <w:r w:rsidR="00DB633E" w:rsidRPr="00F740BB">
              <w:rPr>
                <w:lang w:val="en-CA"/>
              </w:rPr>
              <w:t xml:space="preserve">detailed </w:t>
            </w:r>
            <w:r w:rsidR="00B71CAE" w:rsidRPr="00F740BB">
              <w:rPr>
                <w:lang w:val="en-CA"/>
              </w:rPr>
              <w:t>statistics,</w:t>
            </w:r>
            <w:r w:rsidRPr="00F740BB">
              <w:rPr>
                <w:lang w:val="en-CA"/>
              </w:rPr>
              <w:t xml:space="preserve"> </w:t>
            </w:r>
            <w:r w:rsidR="00034C7A" w:rsidRPr="00F740BB">
              <w:rPr>
                <w:lang w:val="en-CA"/>
              </w:rPr>
              <w:t>building statistical capacity for Indigenous peoples</w:t>
            </w:r>
            <w:r w:rsidR="00946678" w:rsidRPr="00F740BB">
              <w:rPr>
                <w:lang w:val="en-CA"/>
              </w:rPr>
              <w:t>,</w:t>
            </w:r>
            <w:r w:rsidR="00034C7A" w:rsidRPr="00F740BB">
              <w:rPr>
                <w:lang w:val="en-CA"/>
              </w:rPr>
              <w:t xml:space="preserve"> </w:t>
            </w:r>
            <w:r w:rsidRPr="00F740BB">
              <w:rPr>
                <w:lang w:val="en-CA"/>
              </w:rPr>
              <w:t>and strengthen</w:t>
            </w:r>
            <w:r w:rsidR="004B121F" w:rsidRPr="00F740BB">
              <w:rPr>
                <w:lang w:val="en-CA"/>
              </w:rPr>
              <w:t>ing</w:t>
            </w:r>
            <w:r w:rsidRPr="00F740BB">
              <w:rPr>
                <w:lang w:val="en-CA"/>
              </w:rPr>
              <w:t xml:space="preserve"> collaboration within the government</w:t>
            </w:r>
            <w:r w:rsidR="00263C6B" w:rsidRPr="00F740BB">
              <w:rPr>
                <w:lang w:val="en-CA"/>
              </w:rPr>
              <w:t>s</w:t>
            </w:r>
            <w:r w:rsidRPr="00F740BB">
              <w:rPr>
                <w:lang w:val="en-CA"/>
              </w:rPr>
              <w:t xml:space="preserve"> and </w:t>
            </w:r>
            <w:r w:rsidR="006D3B9D" w:rsidRPr="00F740BB">
              <w:rPr>
                <w:lang w:val="en-CA"/>
              </w:rPr>
              <w:t>between the government</w:t>
            </w:r>
            <w:r w:rsidR="00263C6B" w:rsidRPr="00F740BB">
              <w:rPr>
                <w:lang w:val="en-CA"/>
              </w:rPr>
              <w:t>s</w:t>
            </w:r>
            <w:r w:rsidR="006D3B9D" w:rsidRPr="00F740BB">
              <w:rPr>
                <w:lang w:val="en-CA"/>
              </w:rPr>
              <w:t xml:space="preserve"> and</w:t>
            </w:r>
            <w:r w:rsidRPr="00F740BB">
              <w:rPr>
                <w:lang w:val="en-CA"/>
              </w:rPr>
              <w:t xml:space="preserve"> other public</w:t>
            </w:r>
            <w:r w:rsidR="004B121F" w:rsidRPr="00F740BB">
              <w:rPr>
                <w:lang w:val="en-CA"/>
              </w:rPr>
              <w:t>-</w:t>
            </w:r>
            <w:r w:rsidRPr="00F740BB">
              <w:rPr>
                <w:lang w:val="en-CA"/>
              </w:rPr>
              <w:t xml:space="preserve"> and private</w:t>
            </w:r>
            <w:r w:rsidR="004B121F" w:rsidRPr="00F740BB">
              <w:rPr>
                <w:lang w:val="en-CA"/>
              </w:rPr>
              <w:t>-</w:t>
            </w:r>
            <w:r w:rsidRPr="00F740BB">
              <w:rPr>
                <w:lang w:val="en-CA"/>
              </w:rPr>
              <w:t>sector partners.</w:t>
            </w:r>
          </w:p>
        </w:tc>
      </w:tr>
      <w:tr w:rsidR="00687BE0" w:rsidRPr="00F740BB" w14:paraId="5328B722" w14:textId="77777777" w:rsidTr="00816286">
        <w:tc>
          <w:tcPr>
            <w:tcW w:w="0" w:type="auto"/>
            <w:shd w:val="clear" w:color="auto" w:fill="F2F2F2" w:themeFill="background1" w:themeFillShade="F2"/>
          </w:tcPr>
          <w:p w14:paraId="5D9A311A" w14:textId="259CFEA5" w:rsidR="00687BE0" w:rsidRPr="00F740BB" w:rsidRDefault="00192D6E" w:rsidP="00E50BFA">
            <w:pPr>
              <w:pStyle w:val="Default"/>
              <w:numPr>
                <w:ilvl w:val="0"/>
                <w:numId w:val="1"/>
              </w:numPr>
              <w:spacing w:before="120" w:after="120"/>
              <w:rPr>
                <w:b/>
                <w:bCs/>
                <w:sz w:val="23"/>
                <w:szCs w:val="23"/>
                <w:lang w:val="en-CA"/>
              </w:rPr>
            </w:pPr>
            <w:r w:rsidRPr="00F740BB">
              <w:rPr>
                <w:b/>
                <w:bCs/>
                <w:lang w:val="en-CA"/>
              </w:rPr>
              <w:t xml:space="preserve">Encourage </w:t>
            </w:r>
            <w:r w:rsidRPr="00F740BB">
              <w:rPr>
                <w:lang w:val="en-CA"/>
              </w:rPr>
              <w:t>APPF Member Countries to increase digital transition of public services to enable citizens to have access to public services wherever they want;</w:t>
            </w:r>
          </w:p>
        </w:tc>
        <w:tc>
          <w:tcPr>
            <w:tcW w:w="0" w:type="auto"/>
          </w:tcPr>
          <w:p w14:paraId="7F5AA2E9" w14:textId="70D3B845" w:rsidR="00E74737" w:rsidRPr="00F740BB" w:rsidRDefault="00F81CB3" w:rsidP="00213A5B">
            <w:pPr>
              <w:spacing w:before="120" w:after="120"/>
              <w:rPr>
                <w:lang w:val="en-CA"/>
              </w:rPr>
            </w:pPr>
            <w:r w:rsidRPr="00F740BB">
              <w:rPr>
                <w:lang w:val="en-CA"/>
              </w:rPr>
              <w:t xml:space="preserve">In June 2021, </w:t>
            </w:r>
            <w:r w:rsidR="00087705" w:rsidRPr="00F740BB">
              <w:rPr>
                <w:lang w:val="en-CA"/>
              </w:rPr>
              <w:t xml:space="preserve">Canada </w:t>
            </w:r>
            <w:r w:rsidR="00C44778" w:rsidRPr="00F740BB">
              <w:rPr>
                <w:lang w:val="en-CA"/>
              </w:rPr>
              <w:t>released</w:t>
            </w:r>
            <w:r w:rsidR="00087705" w:rsidRPr="00F740BB">
              <w:rPr>
                <w:lang w:val="en-CA"/>
              </w:rPr>
              <w:t xml:space="preserve"> its </w:t>
            </w:r>
            <w:hyperlink r:id="rId48">
              <w:r w:rsidR="00087705" w:rsidRPr="00F740BB">
                <w:rPr>
                  <w:rStyle w:val="Hyperlink"/>
                  <w:lang w:val="en-CA"/>
                </w:rPr>
                <w:t>Digital Government Strategy</w:t>
              </w:r>
            </w:hyperlink>
            <w:r w:rsidR="009C6A3A" w:rsidRPr="00F740BB">
              <w:rPr>
                <w:lang w:val="en-CA"/>
              </w:rPr>
              <w:t xml:space="preserve">. </w:t>
            </w:r>
            <w:r w:rsidR="00886190" w:rsidRPr="00F740BB">
              <w:rPr>
                <w:lang w:val="en-CA"/>
              </w:rPr>
              <w:t>The strategy include</w:t>
            </w:r>
            <w:r w:rsidR="00050E4E" w:rsidRPr="00F740BB">
              <w:rPr>
                <w:lang w:val="en-CA"/>
              </w:rPr>
              <w:t>s</w:t>
            </w:r>
            <w:r w:rsidR="005C5C06" w:rsidRPr="00F740BB">
              <w:rPr>
                <w:lang w:val="en-CA"/>
              </w:rPr>
              <w:t xml:space="preserve"> </w:t>
            </w:r>
            <w:r w:rsidR="00C77268" w:rsidRPr="00F740BB">
              <w:rPr>
                <w:lang w:val="en-CA"/>
              </w:rPr>
              <w:t>short- and long-term</w:t>
            </w:r>
            <w:r w:rsidR="005C5C06" w:rsidRPr="00F740BB">
              <w:rPr>
                <w:lang w:val="en-CA"/>
              </w:rPr>
              <w:t xml:space="preserve"> measures </w:t>
            </w:r>
            <w:r w:rsidRPr="00F740BB">
              <w:rPr>
                <w:lang w:val="en-CA"/>
              </w:rPr>
              <w:t xml:space="preserve">designed </w:t>
            </w:r>
            <w:r w:rsidR="0094266F" w:rsidRPr="00F740BB">
              <w:rPr>
                <w:lang w:val="en-CA"/>
              </w:rPr>
              <w:t>to</w:t>
            </w:r>
            <w:r w:rsidR="009152BE" w:rsidRPr="00F740BB">
              <w:rPr>
                <w:lang w:val="en-CA"/>
              </w:rPr>
              <w:t xml:space="preserve"> modernize </w:t>
            </w:r>
            <w:r w:rsidR="00C77268" w:rsidRPr="00F740BB">
              <w:rPr>
                <w:lang w:val="en-CA"/>
              </w:rPr>
              <w:t>Government of Canada operat</w:t>
            </w:r>
            <w:r w:rsidRPr="00F740BB">
              <w:rPr>
                <w:lang w:val="en-CA"/>
              </w:rPr>
              <w:t>ions with the goals of enhanced</w:t>
            </w:r>
            <w:r w:rsidR="00C77268" w:rsidRPr="00F740BB">
              <w:rPr>
                <w:lang w:val="en-CA"/>
              </w:rPr>
              <w:t xml:space="preserve"> responsive</w:t>
            </w:r>
            <w:r w:rsidRPr="00F740BB">
              <w:rPr>
                <w:lang w:val="en-CA"/>
              </w:rPr>
              <w:t>ness</w:t>
            </w:r>
            <w:r w:rsidR="00C77268" w:rsidRPr="00F740BB">
              <w:rPr>
                <w:lang w:val="en-CA"/>
              </w:rPr>
              <w:t xml:space="preserve">, </w:t>
            </w:r>
            <w:r w:rsidR="006D3B9D" w:rsidRPr="00F740BB">
              <w:rPr>
                <w:lang w:val="en-CA"/>
              </w:rPr>
              <w:t xml:space="preserve">greater </w:t>
            </w:r>
            <w:r w:rsidR="003C1187" w:rsidRPr="00F740BB">
              <w:rPr>
                <w:lang w:val="en-CA"/>
              </w:rPr>
              <w:t>resilien</w:t>
            </w:r>
            <w:r w:rsidRPr="00F740BB">
              <w:rPr>
                <w:lang w:val="en-CA"/>
              </w:rPr>
              <w:t>cy</w:t>
            </w:r>
            <w:r w:rsidR="00C77268" w:rsidRPr="00F740BB">
              <w:rPr>
                <w:lang w:val="en-CA"/>
              </w:rPr>
              <w:t xml:space="preserve"> and </w:t>
            </w:r>
            <w:r w:rsidR="006D3B9D" w:rsidRPr="00F740BB">
              <w:rPr>
                <w:lang w:val="en-CA"/>
              </w:rPr>
              <w:t xml:space="preserve">improved </w:t>
            </w:r>
            <w:r w:rsidR="00C77268" w:rsidRPr="00F740BB">
              <w:rPr>
                <w:lang w:val="en-CA"/>
              </w:rPr>
              <w:t>servi</w:t>
            </w:r>
            <w:r w:rsidRPr="00F740BB">
              <w:rPr>
                <w:lang w:val="en-CA"/>
              </w:rPr>
              <w:t>ce</w:t>
            </w:r>
            <w:r w:rsidR="00C77268" w:rsidRPr="00F740BB">
              <w:rPr>
                <w:lang w:val="en-CA"/>
              </w:rPr>
              <w:t>.</w:t>
            </w:r>
            <w:r w:rsidR="00A86C50" w:rsidRPr="00F740BB">
              <w:rPr>
                <w:lang w:val="en-CA"/>
              </w:rPr>
              <w:t xml:space="preserve"> Measures </w:t>
            </w:r>
            <w:r w:rsidRPr="00F740BB">
              <w:rPr>
                <w:lang w:val="en-CA"/>
              </w:rPr>
              <w:t>implemented under</w:t>
            </w:r>
            <w:r w:rsidR="00A86C50" w:rsidRPr="00F740BB">
              <w:rPr>
                <w:lang w:val="en-CA"/>
              </w:rPr>
              <w:t xml:space="preserve"> this initiative include the creation of the </w:t>
            </w:r>
            <w:hyperlink r:id="rId49">
              <w:r w:rsidR="00A86C50" w:rsidRPr="00F740BB">
                <w:rPr>
                  <w:rStyle w:val="Hyperlink"/>
                  <w:lang w:val="en-CA"/>
                </w:rPr>
                <w:t>Canadian Digital Service</w:t>
              </w:r>
            </w:hyperlink>
            <w:r w:rsidRPr="00F740BB">
              <w:rPr>
                <w:lang w:val="en-CA"/>
              </w:rPr>
              <w:t xml:space="preserve">, </w:t>
            </w:r>
            <w:r w:rsidR="00A86C50" w:rsidRPr="00F740BB">
              <w:rPr>
                <w:lang w:val="en-CA"/>
              </w:rPr>
              <w:t xml:space="preserve">which </w:t>
            </w:r>
            <w:r w:rsidRPr="00F740BB">
              <w:rPr>
                <w:lang w:val="en-CA"/>
              </w:rPr>
              <w:t>helps</w:t>
            </w:r>
            <w:r w:rsidR="00A92A65" w:rsidRPr="00F740BB">
              <w:rPr>
                <w:lang w:val="en-CA"/>
              </w:rPr>
              <w:t xml:space="preserve"> </w:t>
            </w:r>
            <w:r w:rsidR="006D3B9D" w:rsidRPr="00F740BB">
              <w:rPr>
                <w:lang w:val="en-CA"/>
              </w:rPr>
              <w:t xml:space="preserve">federal </w:t>
            </w:r>
            <w:r w:rsidR="00A92A65" w:rsidRPr="00F740BB">
              <w:rPr>
                <w:lang w:val="en-CA"/>
              </w:rPr>
              <w:t xml:space="preserve">departments </w:t>
            </w:r>
            <w:r w:rsidRPr="00F740BB">
              <w:rPr>
                <w:lang w:val="en-CA"/>
              </w:rPr>
              <w:t>to increase</w:t>
            </w:r>
            <w:r w:rsidR="00A92A65" w:rsidRPr="00F740BB">
              <w:rPr>
                <w:lang w:val="en-CA"/>
              </w:rPr>
              <w:t xml:space="preserve"> </w:t>
            </w:r>
            <w:r w:rsidRPr="00F740BB">
              <w:rPr>
                <w:lang w:val="en-CA"/>
              </w:rPr>
              <w:t xml:space="preserve">their </w:t>
            </w:r>
            <w:r w:rsidR="00A92A65" w:rsidRPr="00F740BB">
              <w:rPr>
                <w:lang w:val="en-CA"/>
              </w:rPr>
              <w:t xml:space="preserve">digital capacity and </w:t>
            </w:r>
            <w:r w:rsidRPr="00F740BB">
              <w:rPr>
                <w:lang w:val="en-CA"/>
              </w:rPr>
              <w:t xml:space="preserve">to </w:t>
            </w:r>
            <w:r w:rsidR="002D4E02" w:rsidRPr="00F740BB">
              <w:rPr>
                <w:lang w:val="en-CA"/>
              </w:rPr>
              <w:t>modernize the way they deliver their services.</w:t>
            </w:r>
            <w:r w:rsidRPr="00F740BB">
              <w:rPr>
                <w:lang w:val="en-CA"/>
              </w:rPr>
              <w:t xml:space="preserve"> The</w:t>
            </w:r>
            <w:r w:rsidR="002D4E02" w:rsidRPr="00F740BB">
              <w:rPr>
                <w:lang w:val="en-CA"/>
              </w:rPr>
              <w:t xml:space="preserve"> </w:t>
            </w:r>
            <w:hyperlink r:id="rId50">
              <w:r w:rsidRPr="00F740BB">
                <w:rPr>
                  <w:rStyle w:val="Hyperlink"/>
                  <w:lang w:val="en-CA"/>
                </w:rPr>
                <w:t>2022 federal b</w:t>
              </w:r>
              <w:r w:rsidR="007F7C5F" w:rsidRPr="00F740BB">
                <w:rPr>
                  <w:rStyle w:val="Hyperlink"/>
                  <w:lang w:val="en-CA"/>
                </w:rPr>
                <w:t>udget</w:t>
              </w:r>
            </w:hyperlink>
            <w:r w:rsidR="000E052D" w:rsidRPr="00F740BB">
              <w:rPr>
                <w:lang w:val="en-CA"/>
              </w:rPr>
              <w:t xml:space="preserve"> </w:t>
            </w:r>
            <w:r w:rsidR="001D1D4E" w:rsidRPr="00F740BB">
              <w:rPr>
                <w:lang w:val="en-CA"/>
              </w:rPr>
              <w:t>continu</w:t>
            </w:r>
            <w:r w:rsidRPr="00F740BB">
              <w:rPr>
                <w:lang w:val="en-CA"/>
              </w:rPr>
              <w:t>ed</w:t>
            </w:r>
            <w:r w:rsidR="001D1D4E" w:rsidRPr="00F740BB">
              <w:rPr>
                <w:lang w:val="en-CA"/>
              </w:rPr>
              <w:t xml:space="preserve"> </w:t>
            </w:r>
            <w:r w:rsidR="005B7FA2" w:rsidRPr="00F740BB">
              <w:rPr>
                <w:lang w:val="en-CA"/>
              </w:rPr>
              <w:t>funding for this initiative.</w:t>
            </w:r>
          </w:p>
        </w:tc>
      </w:tr>
      <w:tr w:rsidR="00687BE0" w:rsidRPr="00F740BB" w14:paraId="5F1046BB" w14:textId="77777777" w:rsidTr="00816286">
        <w:tc>
          <w:tcPr>
            <w:tcW w:w="0" w:type="auto"/>
            <w:shd w:val="clear" w:color="auto" w:fill="F2F2F2" w:themeFill="background1" w:themeFillShade="F2"/>
          </w:tcPr>
          <w:p w14:paraId="5C06822B" w14:textId="71AF848B" w:rsidR="00687BE0" w:rsidRPr="00F740BB" w:rsidRDefault="00593552" w:rsidP="00E50BFA">
            <w:pPr>
              <w:pStyle w:val="Default"/>
              <w:numPr>
                <w:ilvl w:val="0"/>
                <w:numId w:val="1"/>
              </w:numPr>
              <w:spacing w:before="120" w:after="120"/>
              <w:rPr>
                <w:b/>
                <w:bCs/>
                <w:sz w:val="23"/>
                <w:szCs w:val="23"/>
                <w:lang w:val="en-CA"/>
              </w:rPr>
            </w:pPr>
            <w:r w:rsidRPr="00F740BB">
              <w:rPr>
                <w:b/>
                <w:bCs/>
                <w:sz w:val="23"/>
                <w:szCs w:val="23"/>
                <w:lang w:val="en-CA"/>
              </w:rPr>
              <w:t xml:space="preserve"> </w:t>
            </w:r>
            <w:r w:rsidR="00192D6E" w:rsidRPr="00F740BB">
              <w:rPr>
                <w:b/>
                <w:bCs/>
                <w:lang w:val="en-CA"/>
              </w:rPr>
              <w:t xml:space="preserve">Recommend </w:t>
            </w:r>
            <w:r w:rsidR="00192D6E" w:rsidRPr="00F740BB">
              <w:rPr>
                <w:lang w:val="en-CA"/>
              </w:rPr>
              <w:t>APPF Member Parliaments to seek ways that promote cybersecurity, protect personal data and facilitate digital payments in e-commerce while using parliamentary scrutiny on national e-commerce laws, regulations and policies</w:t>
            </w:r>
            <w:r w:rsidRPr="00F740BB">
              <w:rPr>
                <w:lang w:val="en-CA"/>
              </w:rPr>
              <w:t>;</w:t>
            </w:r>
          </w:p>
        </w:tc>
        <w:tc>
          <w:tcPr>
            <w:tcW w:w="0" w:type="auto"/>
          </w:tcPr>
          <w:p w14:paraId="00BC9E44" w14:textId="0E2781D8" w:rsidR="006D3B9D" w:rsidRPr="00F740BB" w:rsidRDefault="007853CB" w:rsidP="00375E18">
            <w:pPr>
              <w:rPr>
                <w:lang w:val="en-CA"/>
              </w:rPr>
            </w:pPr>
            <w:r w:rsidRPr="00F740BB">
              <w:rPr>
                <w:lang w:val="en-CA"/>
              </w:rPr>
              <w:t xml:space="preserve">In October 2018, the Standing </w:t>
            </w:r>
            <w:r w:rsidR="00AB428C" w:rsidRPr="00F740BB">
              <w:rPr>
                <w:lang w:val="en-CA"/>
              </w:rPr>
              <w:t xml:space="preserve">Senate </w:t>
            </w:r>
            <w:r w:rsidRPr="00F740BB">
              <w:rPr>
                <w:lang w:val="en-CA"/>
              </w:rPr>
              <w:t xml:space="preserve">Committee on </w:t>
            </w:r>
            <w:r w:rsidR="00F81CB3" w:rsidRPr="00F740BB">
              <w:rPr>
                <w:lang w:val="en-CA"/>
              </w:rPr>
              <w:t xml:space="preserve">Banking, Trade and Commerce (now, the Standing Senate Committee on </w:t>
            </w:r>
            <w:r w:rsidRPr="00F740BB">
              <w:rPr>
                <w:lang w:val="en-CA"/>
              </w:rPr>
              <w:t>Banking, Commerce and the Economy</w:t>
            </w:r>
            <w:r w:rsidR="00F81CB3" w:rsidRPr="00F740BB">
              <w:rPr>
                <w:lang w:val="en-CA"/>
              </w:rPr>
              <w:t>)</w:t>
            </w:r>
            <w:r w:rsidRPr="00F740BB">
              <w:rPr>
                <w:lang w:val="en-CA"/>
              </w:rPr>
              <w:t xml:space="preserve"> </w:t>
            </w:r>
            <w:r w:rsidR="00F81CB3" w:rsidRPr="00F740BB">
              <w:rPr>
                <w:lang w:val="en-CA"/>
              </w:rPr>
              <w:t>released</w:t>
            </w:r>
            <w:r w:rsidR="00BF57C6" w:rsidRPr="00F740BB">
              <w:rPr>
                <w:lang w:val="en-CA"/>
              </w:rPr>
              <w:t xml:space="preserve"> </w:t>
            </w:r>
            <w:r w:rsidRPr="00F740BB">
              <w:rPr>
                <w:lang w:val="en-CA"/>
              </w:rPr>
              <w:t xml:space="preserve">a report entitled </w:t>
            </w:r>
            <w:hyperlink r:id="rId51" w:history="1">
              <w:r w:rsidR="00242335" w:rsidRPr="00F740BB">
                <w:rPr>
                  <w:rStyle w:val="Hyperlink"/>
                  <w:i/>
                  <w:iCs/>
                  <w:lang w:val="en-CA"/>
                </w:rPr>
                <w:t>Cyber</w:t>
              </w:r>
              <w:r w:rsidR="008F43C8">
                <w:rPr>
                  <w:rStyle w:val="Hyperlink"/>
                  <w:i/>
                  <w:iCs/>
                  <w:lang w:val="en-CA"/>
                </w:rPr>
                <w:t> A</w:t>
              </w:r>
              <w:r w:rsidR="00242335" w:rsidRPr="00F740BB">
                <w:rPr>
                  <w:rStyle w:val="Hyperlink"/>
                  <w:i/>
                  <w:iCs/>
                  <w:lang w:val="en-CA"/>
                </w:rPr>
                <w:t>ssault</w:t>
              </w:r>
              <w:r w:rsidR="00375E18" w:rsidRPr="00F740BB">
                <w:rPr>
                  <w:rStyle w:val="Hyperlink"/>
                  <w:i/>
                  <w:iCs/>
                  <w:lang w:val="en-CA"/>
                </w:rPr>
                <w:t xml:space="preserve">: </w:t>
              </w:r>
              <w:r w:rsidR="00242335" w:rsidRPr="00F740BB">
                <w:rPr>
                  <w:rStyle w:val="Hyperlink"/>
                  <w:i/>
                  <w:iCs/>
                  <w:lang w:val="en-CA"/>
                </w:rPr>
                <w:t xml:space="preserve">It </w:t>
              </w:r>
              <w:r w:rsidR="00082901">
                <w:rPr>
                  <w:rStyle w:val="Hyperlink"/>
                  <w:i/>
                  <w:iCs/>
                  <w:lang w:val="en-CA"/>
                </w:rPr>
                <w:t>S</w:t>
              </w:r>
              <w:r w:rsidR="00242335" w:rsidRPr="00F740BB">
                <w:rPr>
                  <w:rStyle w:val="Hyperlink"/>
                  <w:i/>
                  <w:iCs/>
                  <w:lang w:val="en-CA"/>
                </w:rPr>
                <w:t xml:space="preserve">hould </w:t>
              </w:r>
              <w:r w:rsidR="008F43C8">
                <w:rPr>
                  <w:rStyle w:val="Hyperlink"/>
                  <w:i/>
                  <w:iCs/>
                  <w:lang w:val="en-CA"/>
                </w:rPr>
                <w:t>K</w:t>
              </w:r>
              <w:r w:rsidR="00242335" w:rsidRPr="00F740BB">
                <w:rPr>
                  <w:rStyle w:val="Hyperlink"/>
                  <w:i/>
                  <w:iCs/>
                  <w:lang w:val="en-CA"/>
                </w:rPr>
                <w:t xml:space="preserve">eep you up at </w:t>
              </w:r>
              <w:r w:rsidR="008F43C8">
                <w:rPr>
                  <w:rStyle w:val="Hyperlink"/>
                  <w:i/>
                  <w:iCs/>
                  <w:lang w:val="en-CA"/>
                </w:rPr>
                <w:t>N</w:t>
              </w:r>
              <w:r w:rsidR="00242335" w:rsidRPr="00F740BB">
                <w:rPr>
                  <w:rStyle w:val="Hyperlink"/>
                  <w:i/>
                  <w:iCs/>
                  <w:lang w:val="en-CA"/>
                </w:rPr>
                <w:t>ight</w:t>
              </w:r>
            </w:hyperlink>
            <w:r w:rsidR="00F81CB3" w:rsidRPr="00F740BB">
              <w:rPr>
                <w:lang w:val="en-CA"/>
              </w:rPr>
              <w:t>. The</w:t>
            </w:r>
            <w:r w:rsidR="00242335" w:rsidRPr="00F740BB">
              <w:rPr>
                <w:lang w:val="en-CA"/>
              </w:rPr>
              <w:t xml:space="preserve"> </w:t>
            </w:r>
            <w:r w:rsidR="00F81CB3" w:rsidRPr="00F740BB">
              <w:rPr>
                <w:lang w:val="en-CA"/>
              </w:rPr>
              <w:t>report identifies</w:t>
            </w:r>
            <w:r w:rsidR="00637430" w:rsidRPr="00F740BB">
              <w:rPr>
                <w:lang w:val="en-CA"/>
              </w:rPr>
              <w:t xml:space="preserve"> cyber threats to Canada</w:t>
            </w:r>
            <w:r w:rsidR="00375E18" w:rsidRPr="00F740BB">
              <w:rPr>
                <w:lang w:val="en-CA"/>
              </w:rPr>
              <w:t>’</w:t>
            </w:r>
            <w:r w:rsidR="00637430" w:rsidRPr="00F740BB">
              <w:rPr>
                <w:lang w:val="en-CA"/>
              </w:rPr>
              <w:t xml:space="preserve">s financial and commercial sectors, </w:t>
            </w:r>
            <w:r w:rsidR="006030AA" w:rsidRPr="00F740BB">
              <w:rPr>
                <w:lang w:val="en-CA"/>
              </w:rPr>
              <w:t xml:space="preserve">such as </w:t>
            </w:r>
            <w:r w:rsidR="00E15498" w:rsidRPr="00F740BB">
              <w:rPr>
                <w:lang w:val="en-CA"/>
              </w:rPr>
              <w:t>identity theft, privacy breach</w:t>
            </w:r>
            <w:r w:rsidR="00C322AE" w:rsidRPr="00F740BB">
              <w:rPr>
                <w:lang w:val="en-CA"/>
              </w:rPr>
              <w:t>es</w:t>
            </w:r>
            <w:r w:rsidR="00E15498" w:rsidRPr="00F740BB">
              <w:rPr>
                <w:lang w:val="en-CA"/>
              </w:rPr>
              <w:t xml:space="preserve"> and other fraudulent activities targeting Canadian consumers and small businesses</w:t>
            </w:r>
            <w:r w:rsidR="00B47342" w:rsidRPr="00F740BB">
              <w:rPr>
                <w:lang w:val="en-CA"/>
              </w:rPr>
              <w:t>,</w:t>
            </w:r>
            <w:r w:rsidR="00E15498" w:rsidRPr="00F740BB">
              <w:rPr>
                <w:lang w:val="en-CA"/>
              </w:rPr>
              <w:t xml:space="preserve"> </w:t>
            </w:r>
            <w:r w:rsidR="006030AA" w:rsidRPr="00F740BB">
              <w:rPr>
                <w:lang w:val="en-CA"/>
              </w:rPr>
              <w:t>and examines</w:t>
            </w:r>
            <w:r w:rsidR="00E15498" w:rsidRPr="00F740BB">
              <w:rPr>
                <w:lang w:val="en-CA"/>
              </w:rPr>
              <w:t xml:space="preserve"> regulations</w:t>
            </w:r>
            <w:r w:rsidR="003F1261" w:rsidRPr="00F740BB">
              <w:rPr>
                <w:lang w:val="en-CA"/>
              </w:rPr>
              <w:t xml:space="preserve"> </w:t>
            </w:r>
            <w:r w:rsidR="00B47342" w:rsidRPr="00F740BB">
              <w:rPr>
                <w:lang w:val="en-CA"/>
              </w:rPr>
              <w:t>implemented</w:t>
            </w:r>
            <w:r w:rsidR="00E15498" w:rsidRPr="00F740BB">
              <w:rPr>
                <w:lang w:val="en-CA"/>
              </w:rPr>
              <w:t xml:space="preserve"> in Canada and abroad</w:t>
            </w:r>
            <w:r w:rsidR="003F1261" w:rsidRPr="00F740BB">
              <w:rPr>
                <w:lang w:val="en-CA"/>
              </w:rPr>
              <w:t xml:space="preserve"> to mitigate those </w:t>
            </w:r>
            <w:r w:rsidR="00B47342" w:rsidRPr="00F740BB">
              <w:rPr>
                <w:lang w:val="en-CA"/>
              </w:rPr>
              <w:t>threats</w:t>
            </w:r>
            <w:r w:rsidR="006030AA" w:rsidRPr="00F740BB">
              <w:rPr>
                <w:lang w:val="en-CA"/>
              </w:rPr>
              <w:t>.</w:t>
            </w:r>
            <w:r w:rsidR="00D84E02" w:rsidRPr="00F740BB">
              <w:rPr>
                <w:lang w:val="en-CA"/>
              </w:rPr>
              <w:t xml:space="preserve"> </w:t>
            </w:r>
            <w:r w:rsidR="00F81CB3" w:rsidRPr="00F740BB">
              <w:rPr>
                <w:lang w:val="en-CA"/>
              </w:rPr>
              <w:t>The report</w:t>
            </w:r>
            <w:r w:rsidR="00375E18" w:rsidRPr="00F740BB">
              <w:rPr>
                <w:lang w:val="en-CA"/>
              </w:rPr>
              <w:t>’</w:t>
            </w:r>
            <w:r w:rsidR="00F81CB3" w:rsidRPr="00F740BB">
              <w:rPr>
                <w:lang w:val="en-CA"/>
              </w:rPr>
              <w:t xml:space="preserve">s </w:t>
            </w:r>
            <w:r w:rsidR="00D84E02" w:rsidRPr="00F740BB">
              <w:rPr>
                <w:lang w:val="en-CA"/>
              </w:rPr>
              <w:t>recommendations include developing a consistent set of cybersecurity standards</w:t>
            </w:r>
            <w:r w:rsidR="00C24698" w:rsidRPr="00F740BB">
              <w:rPr>
                <w:lang w:val="en-CA"/>
              </w:rPr>
              <w:t xml:space="preserve"> and moderniz</w:t>
            </w:r>
            <w:r w:rsidR="00F81CB3" w:rsidRPr="00F740BB">
              <w:rPr>
                <w:lang w:val="en-CA"/>
              </w:rPr>
              <w:t>ing</w:t>
            </w:r>
            <w:r w:rsidR="00C24698" w:rsidRPr="00F740BB">
              <w:rPr>
                <w:lang w:val="en-CA"/>
              </w:rPr>
              <w:t xml:space="preserve"> Canada</w:t>
            </w:r>
            <w:r w:rsidR="00375E18" w:rsidRPr="00F740BB">
              <w:rPr>
                <w:lang w:val="en-CA"/>
              </w:rPr>
              <w:t>’</w:t>
            </w:r>
            <w:r w:rsidR="00C24698" w:rsidRPr="00F740BB">
              <w:rPr>
                <w:lang w:val="en-CA"/>
              </w:rPr>
              <w:t>s privacy legislation to take</w:t>
            </w:r>
            <w:r w:rsidR="001D1D4E" w:rsidRPr="00F740BB">
              <w:rPr>
                <w:lang w:val="en-CA"/>
              </w:rPr>
              <w:t xml:space="preserve"> </w:t>
            </w:r>
            <w:r w:rsidR="00C24698" w:rsidRPr="00F740BB">
              <w:rPr>
                <w:lang w:val="en-CA"/>
              </w:rPr>
              <w:t>into account emerging cybersecurity concerns</w:t>
            </w:r>
            <w:r w:rsidR="00E15498" w:rsidRPr="00F740BB">
              <w:rPr>
                <w:lang w:val="en-CA"/>
              </w:rPr>
              <w:t>.</w:t>
            </w:r>
            <w:r w:rsidR="00793920" w:rsidRPr="00F740BB">
              <w:rPr>
                <w:lang w:val="en-CA"/>
              </w:rPr>
              <w:t xml:space="preserve"> </w:t>
            </w:r>
            <w:r w:rsidR="00F81CB3" w:rsidRPr="00F740BB">
              <w:rPr>
                <w:lang w:val="en-CA"/>
              </w:rPr>
              <w:t xml:space="preserve">In </w:t>
            </w:r>
            <w:r w:rsidR="003F1261" w:rsidRPr="00F740BB">
              <w:rPr>
                <w:lang w:val="en-CA"/>
              </w:rPr>
              <w:t>June 2019</w:t>
            </w:r>
            <w:r w:rsidR="00F81CB3" w:rsidRPr="00F740BB">
              <w:rPr>
                <w:lang w:val="en-CA"/>
              </w:rPr>
              <w:t>, t</w:t>
            </w:r>
            <w:r w:rsidR="00793920" w:rsidRPr="00F740BB">
              <w:rPr>
                <w:lang w:val="en-CA"/>
              </w:rPr>
              <w:t xml:space="preserve">he House of Commons Standing Committee on Public Safety and National Security </w:t>
            </w:r>
            <w:r w:rsidR="00F81CB3" w:rsidRPr="00F740BB">
              <w:rPr>
                <w:lang w:val="en-CA"/>
              </w:rPr>
              <w:t>released a report entitled</w:t>
            </w:r>
            <w:r w:rsidR="005852BC" w:rsidRPr="00F740BB">
              <w:rPr>
                <w:lang w:val="en-CA"/>
              </w:rPr>
              <w:t xml:space="preserve"> </w:t>
            </w:r>
            <w:hyperlink r:id="rId52" w:history="1">
              <w:r w:rsidR="00FD49A4" w:rsidRPr="00F740BB">
                <w:rPr>
                  <w:rStyle w:val="Hyperlink"/>
                  <w:i/>
                  <w:iCs/>
                  <w:lang w:val="en-CA"/>
                </w:rPr>
                <w:t>Cybersecurity in the Financial Sector as a National Economic Security Issue</w:t>
              </w:r>
            </w:hyperlink>
            <w:r w:rsidR="00F81CB3" w:rsidRPr="00F740BB">
              <w:rPr>
                <w:lang w:val="en-CA"/>
              </w:rPr>
              <w:t>.</w:t>
            </w:r>
            <w:r w:rsidR="009D3CC0" w:rsidRPr="00F740BB">
              <w:rPr>
                <w:lang w:val="en-CA"/>
              </w:rPr>
              <w:t xml:space="preserve"> </w:t>
            </w:r>
            <w:r w:rsidR="00F81CB3" w:rsidRPr="00F740BB">
              <w:rPr>
                <w:lang w:val="en-CA"/>
              </w:rPr>
              <w:t>The report contains</w:t>
            </w:r>
            <w:r w:rsidR="009D3CC0" w:rsidRPr="00F740BB">
              <w:rPr>
                <w:lang w:val="en-CA"/>
              </w:rPr>
              <w:t xml:space="preserve"> recommendations </w:t>
            </w:r>
            <w:r w:rsidR="00F81CB3" w:rsidRPr="00F740BB">
              <w:rPr>
                <w:lang w:val="en-CA"/>
              </w:rPr>
              <w:t xml:space="preserve">that include </w:t>
            </w:r>
            <w:r w:rsidR="009D3CC0" w:rsidRPr="00F740BB">
              <w:rPr>
                <w:lang w:val="en-CA"/>
              </w:rPr>
              <w:t xml:space="preserve">supporting research and development of quantum technologies and encryption standards </w:t>
            </w:r>
            <w:r w:rsidR="00F81CB3" w:rsidRPr="00F740BB">
              <w:rPr>
                <w:lang w:val="en-CA"/>
              </w:rPr>
              <w:t xml:space="preserve">with the goal of </w:t>
            </w:r>
            <w:r w:rsidR="009D3CC0" w:rsidRPr="00F740BB">
              <w:rPr>
                <w:lang w:val="en-CA"/>
              </w:rPr>
              <w:t>ensur</w:t>
            </w:r>
            <w:r w:rsidR="00F81CB3" w:rsidRPr="00F740BB">
              <w:rPr>
                <w:lang w:val="en-CA"/>
              </w:rPr>
              <w:t>ing that</w:t>
            </w:r>
            <w:r w:rsidR="009D3CC0" w:rsidRPr="00F740BB">
              <w:rPr>
                <w:lang w:val="en-CA"/>
              </w:rPr>
              <w:t xml:space="preserve"> Canada</w:t>
            </w:r>
            <w:r w:rsidR="00375E18" w:rsidRPr="00F740BB">
              <w:rPr>
                <w:lang w:val="en-CA"/>
              </w:rPr>
              <w:t>’</w:t>
            </w:r>
            <w:r w:rsidR="009D3CC0" w:rsidRPr="00F740BB">
              <w:rPr>
                <w:lang w:val="en-CA"/>
              </w:rPr>
              <w:t>s electronic information and information systems remain secure in a post-quantum world</w:t>
            </w:r>
            <w:r w:rsidR="00F81CB3" w:rsidRPr="00F740BB">
              <w:rPr>
                <w:lang w:val="en-CA"/>
              </w:rPr>
              <w:t>. Another recommendation mention</w:t>
            </w:r>
            <w:r w:rsidR="00B47342" w:rsidRPr="00F740BB">
              <w:rPr>
                <w:lang w:val="en-CA"/>
              </w:rPr>
              <w:t>s</w:t>
            </w:r>
            <w:r w:rsidR="00F81CB3" w:rsidRPr="00F740BB">
              <w:rPr>
                <w:lang w:val="en-CA"/>
              </w:rPr>
              <w:t xml:space="preserve"> the potential establishment of a</w:t>
            </w:r>
            <w:r w:rsidR="001700C5" w:rsidRPr="00F740BB">
              <w:rPr>
                <w:lang w:val="en-CA"/>
              </w:rPr>
              <w:t xml:space="preserve"> House of Commons subcommittee dedicated to studying the public safety and national security aspects of cybersecurity</w:t>
            </w:r>
            <w:r w:rsidR="009D3CC0" w:rsidRPr="00F740BB">
              <w:rPr>
                <w:lang w:val="en-CA"/>
              </w:rPr>
              <w:t>.</w:t>
            </w:r>
          </w:p>
        </w:tc>
      </w:tr>
      <w:tr w:rsidR="00687BE0" w:rsidRPr="00F740BB" w14:paraId="656D32C9" w14:textId="77777777" w:rsidTr="00816286">
        <w:tc>
          <w:tcPr>
            <w:tcW w:w="0" w:type="auto"/>
            <w:shd w:val="clear" w:color="auto" w:fill="F2F2F2" w:themeFill="background1" w:themeFillShade="F2"/>
          </w:tcPr>
          <w:p w14:paraId="215E0163" w14:textId="1F32DF99" w:rsidR="00687BE0" w:rsidRPr="00F740BB" w:rsidRDefault="00593552" w:rsidP="00F740BB">
            <w:pPr>
              <w:pStyle w:val="Default"/>
              <w:pageBreakBefore/>
              <w:numPr>
                <w:ilvl w:val="0"/>
                <w:numId w:val="1"/>
              </w:numPr>
              <w:autoSpaceDE/>
              <w:autoSpaceDN/>
              <w:adjustRightInd/>
              <w:contextualSpacing/>
              <w:rPr>
                <w:b/>
                <w:bCs/>
                <w:sz w:val="23"/>
                <w:szCs w:val="23"/>
                <w:lang w:val="en-CA"/>
              </w:rPr>
            </w:pPr>
            <w:r w:rsidRPr="00F740BB">
              <w:rPr>
                <w:b/>
                <w:bCs/>
                <w:sz w:val="23"/>
                <w:szCs w:val="23"/>
                <w:lang w:val="en-CA"/>
              </w:rPr>
              <w:t xml:space="preserve"> </w:t>
            </w:r>
            <w:r w:rsidR="00AB7033" w:rsidRPr="00F740BB">
              <w:rPr>
                <w:b/>
                <w:bCs/>
                <w:lang w:val="en-CA"/>
              </w:rPr>
              <w:t xml:space="preserve">Recommend </w:t>
            </w:r>
            <w:r w:rsidR="00AB7033" w:rsidRPr="00F740BB">
              <w:rPr>
                <w:lang w:val="en-CA"/>
              </w:rPr>
              <w:t>APPF Member Countries to analyze and share the results of the potential uses of blockchain, issues of universal accessibility as well as their potential benefits and risks</w:t>
            </w:r>
            <w:r w:rsidRPr="00F740BB">
              <w:rPr>
                <w:lang w:val="en-CA"/>
              </w:rPr>
              <w:t>;</w:t>
            </w:r>
          </w:p>
        </w:tc>
        <w:tc>
          <w:tcPr>
            <w:tcW w:w="0" w:type="auto"/>
          </w:tcPr>
          <w:p w14:paraId="2E67F6A0" w14:textId="1A59C7B0" w:rsidR="00687BE0" w:rsidRPr="00F740BB" w:rsidRDefault="00190814" w:rsidP="00E50BFA">
            <w:pPr>
              <w:spacing w:before="120" w:after="120"/>
              <w:rPr>
                <w:lang w:val="en-CA"/>
              </w:rPr>
            </w:pPr>
            <w:r w:rsidRPr="00F740BB">
              <w:rPr>
                <w:lang w:val="en-CA"/>
              </w:rPr>
              <w:t xml:space="preserve">In January 2018, </w:t>
            </w:r>
            <w:r w:rsidR="008C0DFF" w:rsidRPr="00F740BB">
              <w:rPr>
                <w:lang w:val="en-CA"/>
              </w:rPr>
              <w:t>Canada</w:t>
            </w:r>
            <w:r w:rsidR="00375E18" w:rsidRPr="00F740BB">
              <w:rPr>
                <w:lang w:val="en-CA"/>
              </w:rPr>
              <w:t>’</w:t>
            </w:r>
            <w:r w:rsidR="008C0DFF" w:rsidRPr="00F740BB">
              <w:rPr>
                <w:lang w:val="en-CA"/>
              </w:rPr>
              <w:t xml:space="preserve">s </w:t>
            </w:r>
            <w:hyperlink r:id="rId53" w:history="1">
              <w:r w:rsidR="008C0DFF" w:rsidRPr="00F740BB">
                <w:rPr>
                  <w:rStyle w:val="Hyperlink"/>
                  <w:lang w:val="en-CA"/>
                </w:rPr>
                <w:t>National Research Council</w:t>
              </w:r>
            </w:hyperlink>
            <w:r w:rsidR="008C0DFF" w:rsidRPr="00F740BB">
              <w:rPr>
                <w:lang w:val="en-CA"/>
              </w:rPr>
              <w:t xml:space="preserve"> experimented </w:t>
            </w:r>
            <w:r w:rsidR="006E0A18" w:rsidRPr="00F740BB">
              <w:rPr>
                <w:lang w:val="en-CA"/>
              </w:rPr>
              <w:t xml:space="preserve">with </w:t>
            </w:r>
            <w:r w:rsidRPr="00F740BB">
              <w:rPr>
                <w:lang w:val="en-CA"/>
              </w:rPr>
              <w:t xml:space="preserve">using </w:t>
            </w:r>
            <w:r w:rsidR="008C0DFF" w:rsidRPr="00F740BB">
              <w:rPr>
                <w:lang w:val="en-CA"/>
              </w:rPr>
              <w:t>public blockchain technology for the transparent administration of contracts.</w:t>
            </w:r>
            <w:r w:rsidR="009A4F48" w:rsidRPr="00F740BB">
              <w:rPr>
                <w:lang w:val="en-CA"/>
              </w:rPr>
              <w:t xml:space="preserve"> The goal </w:t>
            </w:r>
            <w:r w:rsidR="006E0A18" w:rsidRPr="00F740BB">
              <w:rPr>
                <w:lang w:val="en-CA"/>
              </w:rPr>
              <w:t>was</w:t>
            </w:r>
            <w:r w:rsidR="009A4F48" w:rsidRPr="00F740BB">
              <w:rPr>
                <w:lang w:val="en-CA"/>
              </w:rPr>
              <w:t xml:space="preserve"> to test the viability of blockchain technology in administering innovation funding </w:t>
            </w:r>
            <w:r w:rsidR="005C788F" w:rsidRPr="00F740BB">
              <w:rPr>
                <w:lang w:val="en-CA"/>
              </w:rPr>
              <w:t>for</w:t>
            </w:r>
            <w:r w:rsidR="009A4F48" w:rsidRPr="00F740BB">
              <w:rPr>
                <w:lang w:val="en-CA"/>
              </w:rPr>
              <w:t xml:space="preserve"> Canadian small and medium-sized </w:t>
            </w:r>
            <w:r w:rsidR="006E0A18" w:rsidRPr="00F740BB">
              <w:rPr>
                <w:lang w:val="en-CA"/>
              </w:rPr>
              <w:t>firms</w:t>
            </w:r>
            <w:r w:rsidR="009A4F48" w:rsidRPr="00F740BB">
              <w:rPr>
                <w:lang w:val="en-CA"/>
              </w:rPr>
              <w:t>.</w:t>
            </w:r>
          </w:p>
        </w:tc>
      </w:tr>
      <w:tr w:rsidR="00687BE0" w:rsidRPr="00F740BB" w14:paraId="07349FA9" w14:textId="77777777" w:rsidTr="00816286">
        <w:tc>
          <w:tcPr>
            <w:tcW w:w="0" w:type="auto"/>
            <w:shd w:val="clear" w:color="auto" w:fill="F2F2F2" w:themeFill="background1" w:themeFillShade="F2"/>
          </w:tcPr>
          <w:p w14:paraId="294240FB" w14:textId="11C6666B" w:rsidR="00687BE0" w:rsidRPr="00F740BB" w:rsidRDefault="00AB7033" w:rsidP="00E50BFA">
            <w:pPr>
              <w:pStyle w:val="Default"/>
              <w:numPr>
                <w:ilvl w:val="0"/>
                <w:numId w:val="1"/>
              </w:numPr>
              <w:spacing w:before="120" w:after="120"/>
              <w:rPr>
                <w:b/>
                <w:bCs/>
                <w:sz w:val="23"/>
                <w:szCs w:val="23"/>
                <w:lang w:val="en-CA"/>
              </w:rPr>
            </w:pPr>
            <w:r w:rsidRPr="00F740BB">
              <w:rPr>
                <w:b/>
                <w:bCs/>
                <w:lang w:val="en-CA"/>
              </w:rPr>
              <w:t xml:space="preserve">Encourage </w:t>
            </w:r>
            <w:r w:rsidRPr="00F740BB">
              <w:rPr>
                <w:lang w:val="en-CA"/>
              </w:rPr>
              <w:t>APPF Member Parliaments to promote understanding of regulatory approaches affecting the Internet and Digital Economy and foster the mechanisms for parliamentary oversight of government activities to support digital economy in recognition that parliaments have the role to complete the national institutional frameworks in support for further development of digital economy</w:t>
            </w:r>
            <w:r w:rsidR="00593552" w:rsidRPr="00F740BB">
              <w:rPr>
                <w:lang w:val="en-CA"/>
              </w:rPr>
              <w:t>;</w:t>
            </w:r>
          </w:p>
        </w:tc>
        <w:tc>
          <w:tcPr>
            <w:tcW w:w="0" w:type="auto"/>
          </w:tcPr>
          <w:p w14:paraId="6DC3AF9A" w14:textId="38F2DE60" w:rsidR="00687BE0" w:rsidRPr="00F740BB" w:rsidRDefault="0067615E" w:rsidP="00685430">
            <w:pPr>
              <w:spacing w:before="120" w:after="120"/>
              <w:rPr>
                <w:lang w:val="en-CA"/>
              </w:rPr>
            </w:pPr>
            <w:r w:rsidRPr="00F740BB">
              <w:rPr>
                <w:lang w:val="en-CA"/>
              </w:rPr>
              <w:t xml:space="preserve">Several </w:t>
            </w:r>
            <w:r w:rsidR="00685ACD" w:rsidRPr="00F740BB">
              <w:rPr>
                <w:lang w:val="en-CA"/>
              </w:rPr>
              <w:t xml:space="preserve">House of Commons </w:t>
            </w:r>
            <w:r w:rsidR="006E0A18" w:rsidRPr="00F740BB">
              <w:rPr>
                <w:lang w:val="en-CA"/>
              </w:rPr>
              <w:t>c</w:t>
            </w:r>
            <w:r w:rsidRPr="00F740BB">
              <w:rPr>
                <w:lang w:val="en-CA"/>
              </w:rPr>
              <w:t xml:space="preserve">ommittees </w:t>
            </w:r>
            <w:r w:rsidR="00BF57C6" w:rsidRPr="00F740BB">
              <w:rPr>
                <w:lang w:val="en-CA"/>
              </w:rPr>
              <w:t xml:space="preserve">oversee </w:t>
            </w:r>
            <w:r w:rsidR="00B47342" w:rsidRPr="00F740BB">
              <w:rPr>
                <w:lang w:val="en-CA"/>
              </w:rPr>
              <w:t xml:space="preserve">federal </w:t>
            </w:r>
            <w:r w:rsidR="00685430" w:rsidRPr="00F740BB">
              <w:rPr>
                <w:lang w:val="en-CA"/>
              </w:rPr>
              <w:t xml:space="preserve">activities </w:t>
            </w:r>
            <w:r w:rsidR="00B42A5A" w:rsidRPr="00F740BB">
              <w:rPr>
                <w:lang w:val="en-CA"/>
              </w:rPr>
              <w:t>relat</w:t>
            </w:r>
            <w:r w:rsidR="006E0A18" w:rsidRPr="00F740BB">
              <w:rPr>
                <w:lang w:val="en-CA"/>
              </w:rPr>
              <w:t>ing</w:t>
            </w:r>
            <w:r w:rsidR="00B42A5A" w:rsidRPr="00F740BB">
              <w:rPr>
                <w:lang w:val="en-CA"/>
              </w:rPr>
              <w:t xml:space="preserve"> to</w:t>
            </w:r>
            <w:r w:rsidR="00685430" w:rsidRPr="00F740BB">
              <w:rPr>
                <w:lang w:val="en-CA"/>
              </w:rPr>
              <w:t xml:space="preserve"> the digital economy. For instance, </w:t>
            </w:r>
            <w:r w:rsidR="00B47342" w:rsidRPr="00F740BB">
              <w:rPr>
                <w:lang w:val="en-CA"/>
              </w:rPr>
              <w:t>s</w:t>
            </w:r>
            <w:r w:rsidR="003F1261" w:rsidRPr="00F740BB">
              <w:rPr>
                <w:lang w:val="en-CA"/>
              </w:rPr>
              <w:t>ince May 2018</w:t>
            </w:r>
            <w:r w:rsidR="006E0A18" w:rsidRPr="00F740BB">
              <w:rPr>
                <w:lang w:val="en-CA"/>
              </w:rPr>
              <w:t xml:space="preserve">, </w:t>
            </w:r>
            <w:r w:rsidR="00685430" w:rsidRPr="00F740BB">
              <w:rPr>
                <w:lang w:val="en-CA"/>
              </w:rPr>
              <w:t xml:space="preserve">the </w:t>
            </w:r>
            <w:r w:rsidR="006E0A18" w:rsidRPr="00F740BB">
              <w:rPr>
                <w:lang w:val="en-CA"/>
              </w:rPr>
              <w:t xml:space="preserve">House of Commons </w:t>
            </w:r>
            <w:r w:rsidR="005209A4" w:rsidRPr="00F740BB">
              <w:rPr>
                <w:lang w:val="en-CA"/>
              </w:rPr>
              <w:t xml:space="preserve">Standing Committee on Access to Information, Privacy and Ethics </w:t>
            </w:r>
            <w:r w:rsidR="003F1261" w:rsidRPr="00F740BB">
              <w:rPr>
                <w:lang w:val="en-CA"/>
              </w:rPr>
              <w:t>ha</w:t>
            </w:r>
            <w:r w:rsidR="00B47342" w:rsidRPr="00F740BB">
              <w:rPr>
                <w:lang w:val="en-CA"/>
              </w:rPr>
              <w:t>s</w:t>
            </w:r>
            <w:r w:rsidR="003F1261" w:rsidRPr="00F740BB">
              <w:rPr>
                <w:lang w:val="en-CA"/>
              </w:rPr>
              <w:t xml:space="preserve"> </w:t>
            </w:r>
            <w:r w:rsidR="008B4ACE" w:rsidRPr="00F740BB">
              <w:rPr>
                <w:lang w:val="en-CA"/>
              </w:rPr>
              <w:t>studied</w:t>
            </w:r>
            <w:r w:rsidR="00A10D1E" w:rsidRPr="00F740BB">
              <w:rPr>
                <w:lang w:val="en-CA"/>
              </w:rPr>
              <w:t xml:space="preserve"> the </w:t>
            </w:r>
            <w:hyperlink r:id="rId54" w:history="1">
              <w:r w:rsidR="009A3368" w:rsidRPr="00F740BB">
                <w:rPr>
                  <w:rStyle w:val="Hyperlink"/>
                  <w:lang w:val="en-CA"/>
                </w:rPr>
                <w:t>use and impact of facial recognition technology</w:t>
              </w:r>
            </w:hyperlink>
            <w:r w:rsidR="009A3368" w:rsidRPr="00F740BB">
              <w:rPr>
                <w:lang w:val="en-CA"/>
              </w:rPr>
              <w:t xml:space="preserve">, the </w:t>
            </w:r>
            <w:hyperlink r:id="rId55" w:history="1">
              <w:r w:rsidR="009A3368" w:rsidRPr="00F740BB">
                <w:rPr>
                  <w:rStyle w:val="Hyperlink"/>
                  <w:lang w:val="en-CA"/>
                </w:rPr>
                <w:t>privacy of digital government services</w:t>
              </w:r>
            </w:hyperlink>
            <w:r w:rsidR="009A3368" w:rsidRPr="00F740BB">
              <w:rPr>
                <w:lang w:val="en-CA"/>
              </w:rPr>
              <w:t xml:space="preserve"> </w:t>
            </w:r>
            <w:r w:rsidR="006E0A18" w:rsidRPr="00F740BB">
              <w:rPr>
                <w:lang w:val="en-CA"/>
              </w:rPr>
              <w:t>and</w:t>
            </w:r>
            <w:r w:rsidR="009A3368" w:rsidRPr="00F740BB">
              <w:rPr>
                <w:lang w:val="en-CA"/>
              </w:rPr>
              <w:t xml:space="preserve"> </w:t>
            </w:r>
            <w:hyperlink r:id="rId56" w:history="1">
              <w:r w:rsidR="009A3368" w:rsidRPr="00F740BB">
                <w:rPr>
                  <w:rStyle w:val="Hyperlink"/>
                  <w:lang w:val="en-CA"/>
                </w:rPr>
                <w:t>net neutrality</w:t>
              </w:r>
            </w:hyperlink>
            <w:r w:rsidR="009A3368" w:rsidRPr="00F740BB">
              <w:rPr>
                <w:lang w:val="en-CA"/>
              </w:rPr>
              <w:t xml:space="preserve">. </w:t>
            </w:r>
            <w:r w:rsidR="006E0A18" w:rsidRPr="00F740BB">
              <w:rPr>
                <w:lang w:val="en-CA"/>
              </w:rPr>
              <w:t xml:space="preserve">In </w:t>
            </w:r>
            <w:r w:rsidR="003F1261" w:rsidRPr="00F740BB">
              <w:rPr>
                <w:lang w:val="en-CA"/>
              </w:rPr>
              <w:t>2021</w:t>
            </w:r>
            <w:r w:rsidR="006E0A18" w:rsidRPr="00F740BB">
              <w:rPr>
                <w:lang w:val="en-CA"/>
              </w:rPr>
              <w:t>, the House of Commons S</w:t>
            </w:r>
            <w:r w:rsidR="009A3368" w:rsidRPr="00F740BB">
              <w:rPr>
                <w:lang w:val="en-CA"/>
              </w:rPr>
              <w:t xml:space="preserve">tanding </w:t>
            </w:r>
            <w:r w:rsidR="006E0A18" w:rsidRPr="00F740BB">
              <w:rPr>
                <w:lang w:val="en-CA"/>
              </w:rPr>
              <w:t>C</w:t>
            </w:r>
            <w:r w:rsidR="009A3368" w:rsidRPr="00F740BB">
              <w:rPr>
                <w:lang w:val="en-CA"/>
              </w:rPr>
              <w:t xml:space="preserve">ommittee on </w:t>
            </w:r>
            <w:r w:rsidR="006E0A18" w:rsidRPr="00F740BB">
              <w:rPr>
                <w:lang w:val="en-CA"/>
              </w:rPr>
              <w:t>P</w:t>
            </w:r>
            <w:r w:rsidR="009A3368" w:rsidRPr="00F740BB">
              <w:rPr>
                <w:lang w:val="en-CA"/>
              </w:rPr>
              <w:t xml:space="preserve">ublic </w:t>
            </w:r>
            <w:r w:rsidR="006E0A18" w:rsidRPr="00F740BB">
              <w:rPr>
                <w:lang w:val="en-CA"/>
              </w:rPr>
              <w:t>A</w:t>
            </w:r>
            <w:r w:rsidR="009A3368" w:rsidRPr="00F740BB">
              <w:rPr>
                <w:lang w:val="en-CA"/>
              </w:rPr>
              <w:t xml:space="preserve">ccounts studied the </w:t>
            </w:r>
            <w:hyperlink r:id="rId57" w:history="1">
              <w:r w:rsidR="009A3368" w:rsidRPr="00F740BB">
                <w:rPr>
                  <w:rStyle w:val="Hyperlink"/>
                  <w:lang w:val="en-CA"/>
                </w:rPr>
                <w:t>taxation of e-commerce</w:t>
              </w:r>
            </w:hyperlink>
            <w:r w:rsidR="004D5EBF" w:rsidRPr="00F740BB">
              <w:rPr>
                <w:lang w:val="en-CA"/>
              </w:rPr>
              <w:t xml:space="preserve"> </w:t>
            </w:r>
            <w:r w:rsidR="00BF57C6" w:rsidRPr="00F740BB">
              <w:rPr>
                <w:lang w:val="en-CA"/>
              </w:rPr>
              <w:t xml:space="preserve">and </w:t>
            </w:r>
            <w:r w:rsidR="004D5EBF" w:rsidRPr="00F740BB">
              <w:rPr>
                <w:lang w:val="en-CA"/>
              </w:rPr>
              <w:t xml:space="preserve">the </w:t>
            </w:r>
            <w:hyperlink r:id="rId58" w:history="1">
              <w:r w:rsidR="006E0A18" w:rsidRPr="00F740BB">
                <w:rPr>
                  <w:rStyle w:val="Hyperlink"/>
                  <w:lang w:val="en-CA"/>
                </w:rPr>
                <w:t>G</w:t>
              </w:r>
              <w:r w:rsidR="00F85641" w:rsidRPr="00F740BB">
                <w:rPr>
                  <w:rStyle w:val="Hyperlink"/>
                  <w:lang w:val="en-CA"/>
                </w:rPr>
                <w:t>overnment</w:t>
              </w:r>
              <w:r w:rsidR="00375E18" w:rsidRPr="00F740BB">
                <w:rPr>
                  <w:rStyle w:val="Hyperlink"/>
                  <w:lang w:val="en-CA"/>
                </w:rPr>
                <w:t>’</w:t>
              </w:r>
              <w:r w:rsidR="006E0A18" w:rsidRPr="00F740BB">
                <w:rPr>
                  <w:rStyle w:val="Hyperlink"/>
                  <w:lang w:val="en-CA"/>
                </w:rPr>
                <w:t>s</w:t>
              </w:r>
              <w:r w:rsidR="00F85641" w:rsidRPr="00F740BB">
                <w:rPr>
                  <w:rStyle w:val="Hyperlink"/>
                  <w:lang w:val="en-CA"/>
                </w:rPr>
                <w:t xml:space="preserve"> procurement of new, complex information technology</w:t>
              </w:r>
            </w:hyperlink>
            <w:r w:rsidR="00BF57C6" w:rsidRPr="00F740BB">
              <w:rPr>
                <w:lang w:val="en-CA"/>
              </w:rPr>
              <w:t>.</w:t>
            </w:r>
            <w:r w:rsidR="00803E0F" w:rsidRPr="00F740BB">
              <w:rPr>
                <w:lang w:val="en-CA"/>
              </w:rPr>
              <w:t xml:space="preserve"> </w:t>
            </w:r>
            <w:r w:rsidR="006E0A18" w:rsidRPr="00F740BB">
              <w:rPr>
                <w:lang w:val="en-CA"/>
              </w:rPr>
              <w:t xml:space="preserve">In </w:t>
            </w:r>
            <w:r w:rsidR="003F1261" w:rsidRPr="00F740BB">
              <w:rPr>
                <w:lang w:val="en-CA"/>
              </w:rPr>
              <w:t>2022</w:t>
            </w:r>
            <w:r w:rsidR="006E0A18" w:rsidRPr="00F740BB">
              <w:rPr>
                <w:lang w:val="en-CA"/>
              </w:rPr>
              <w:t>, t</w:t>
            </w:r>
            <w:r w:rsidR="00153565" w:rsidRPr="00F740BB">
              <w:rPr>
                <w:lang w:val="en-CA"/>
              </w:rPr>
              <w:t xml:space="preserve">he </w:t>
            </w:r>
            <w:r w:rsidR="006E0A18" w:rsidRPr="00F740BB">
              <w:rPr>
                <w:lang w:val="en-CA"/>
              </w:rPr>
              <w:t xml:space="preserve">House of Commons </w:t>
            </w:r>
            <w:r w:rsidR="00803E0F" w:rsidRPr="00F740BB">
              <w:rPr>
                <w:lang w:val="en-CA"/>
              </w:rPr>
              <w:t xml:space="preserve">Standing Committee on Industry and Technology </w:t>
            </w:r>
            <w:r w:rsidR="00B47342" w:rsidRPr="00F740BB">
              <w:rPr>
                <w:lang w:val="en-CA"/>
              </w:rPr>
              <w:t xml:space="preserve">(formerly, the House of Commons Standing Committee on Industry, Science and Technology) </w:t>
            </w:r>
            <w:r w:rsidR="00803E0F" w:rsidRPr="00F740BB">
              <w:rPr>
                <w:lang w:val="en-CA"/>
              </w:rPr>
              <w:t xml:space="preserve">studied </w:t>
            </w:r>
            <w:hyperlink r:id="rId59" w:history="1">
              <w:r w:rsidR="009A3368" w:rsidRPr="00F740BB">
                <w:rPr>
                  <w:rStyle w:val="Hyperlink"/>
                  <w:lang w:val="en-CA"/>
                </w:rPr>
                <w:t>quantum computing</w:t>
              </w:r>
            </w:hyperlink>
            <w:r w:rsidR="006E0A18" w:rsidRPr="00F740BB">
              <w:rPr>
                <w:lang w:val="en-CA"/>
              </w:rPr>
              <w:t xml:space="preserve">, </w:t>
            </w:r>
            <w:r w:rsidR="009A3368" w:rsidRPr="00F740BB">
              <w:rPr>
                <w:lang w:val="en-CA"/>
              </w:rPr>
              <w:t xml:space="preserve">and the </w:t>
            </w:r>
            <w:hyperlink r:id="rId60" w:history="1">
              <w:r w:rsidR="009A3368" w:rsidRPr="00F740BB">
                <w:rPr>
                  <w:rStyle w:val="Hyperlink"/>
                  <w:lang w:val="en-CA"/>
                </w:rPr>
                <w:t>accessibility and affordability of telecommunications services</w:t>
              </w:r>
            </w:hyperlink>
            <w:r w:rsidR="008F022C" w:rsidRPr="00F740BB">
              <w:rPr>
                <w:lang w:val="en-CA"/>
              </w:rPr>
              <w:t>.</w:t>
            </w:r>
          </w:p>
        </w:tc>
      </w:tr>
      <w:tr w:rsidR="00687BE0" w:rsidRPr="00F740BB" w14:paraId="4D9344F5" w14:textId="77777777" w:rsidTr="00816286">
        <w:tc>
          <w:tcPr>
            <w:tcW w:w="0" w:type="auto"/>
            <w:shd w:val="clear" w:color="auto" w:fill="F2F2F2" w:themeFill="background1" w:themeFillShade="F2"/>
          </w:tcPr>
          <w:p w14:paraId="08DDBB7D" w14:textId="6768DBF0" w:rsidR="00687BE0" w:rsidRPr="00F740BB" w:rsidRDefault="00A9566A" w:rsidP="00E50BFA">
            <w:pPr>
              <w:pStyle w:val="Default"/>
              <w:numPr>
                <w:ilvl w:val="0"/>
                <w:numId w:val="1"/>
              </w:numPr>
              <w:spacing w:before="120" w:after="120"/>
              <w:rPr>
                <w:b/>
                <w:bCs/>
                <w:sz w:val="23"/>
                <w:szCs w:val="23"/>
                <w:lang w:val="en-CA"/>
              </w:rPr>
            </w:pPr>
            <w:r w:rsidRPr="00F740BB">
              <w:rPr>
                <w:b/>
                <w:bCs/>
                <w:lang w:val="en-CA"/>
              </w:rPr>
              <w:t xml:space="preserve">Invite </w:t>
            </w:r>
            <w:r w:rsidRPr="00F740BB">
              <w:rPr>
                <w:lang w:val="en-CA"/>
              </w:rPr>
              <w:t>APPF Member Parliaments to strengthen cooperation and exchanges to lead the way to enhance understanding and share experiences in digital economy and develop relevant skills education and training programs; and</w:t>
            </w:r>
          </w:p>
        </w:tc>
        <w:tc>
          <w:tcPr>
            <w:tcW w:w="0" w:type="auto"/>
          </w:tcPr>
          <w:p w14:paraId="3D6E5A84" w14:textId="0D9465F0" w:rsidR="00687BE0" w:rsidRPr="00F740BB" w:rsidRDefault="0071188D" w:rsidP="00D03861">
            <w:pPr>
              <w:spacing w:before="120" w:after="120"/>
              <w:rPr>
                <w:lang w:val="en-CA"/>
              </w:rPr>
            </w:pPr>
            <w:r w:rsidRPr="00F740BB">
              <w:rPr>
                <w:lang w:val="en-CA"/>
              </w:rPr>
              <w:t>In its 2018</w:t>
            </w:r>
            <w:r w:rsidR="006E0A18" w:rsidRPr="00F740BB">
              <w:rPr>
                <w:lang w:val="en-CA"/>
              </w:rPr>
              <w:t xml:space="preserve"> report entitled</w:t>
            </w:r>
            <w:r w:rsidRPr="00F740BB">
              <w:rPr>
                <w:lang w:val="en-CA"/>
              </w:rPr>
              <w:t xml:space="preserve"> </w:t>
            </w:r>
            <w:hyperlink r:id="rId61" w:history="1">
              <w:r w:rsidR="00DE121C" w:rsidRPr="00F740BB">
                <w:rPr>
                  <w:rStyle w:val="Hyperlink"/>
                  <w:i/>
                  <w:iCs/>
                  <w:lang w:val="en-CA"/>
                </w:rPr>
                <w:t>Cyber</w:t>
              </w:r>
              <w:r w:rsidR="00DE121C">
                <w:rPr>
                  <w:rStyle w:val="Hyperlink"/>
                  <w:i/>
                  <w:iCs/>
                  <w:lang w:val="en-CA"/>
                </w:rPr>
                <w:t> A</w:t>
              </w:r>
              <w:r w:rsidR="00DE121C" w:rsidRPr="00F740BB">
                <w:rPr>
                  <w:rStyle w:val="Hyperlink"/>
                  <w:i/>
                  <w:iCs/>
                  <w:lang w:val="en-CA"/>
                </w:rPr>
                <w:t xml:space="preserve">ssault: It </w:t>
              </w:r>
              <w:r w:rsidR="00DE121C">
                <w:rPr>
                  <w:rStyle w:val="Hyperlink"/>
                  <w:i/>
                  <w:iCs/>
                  <w:lang w:val="en-CA"/>
                </w:rPr>
                <w:t>S</w:t>
              </w:r>
              <w:r w:rsidR="00DE121C" w:rsidRPr="00F740BB">
                <w:rPr>
                  <w:rStyle w:val="Hyperlink"/>
                  <w:i/>
                  <w:iCs/>
                  <w:lang w:val="en-CA"/>
                </w:rPr>
                <w:t xml:space="preserve">hould </w:t>
              </w:r>
              <w:r w:rsidR="00DE121C">
                <w:rPr>
                  <w:rStyle w:val="Hyperlink"/>
                  <w:i/>
                  <w:iCs/>
                  <w:lang w:val="en-CA"/>
                </w:rPr>
                <w:t>K</w:t>
              </w:r>
              <w:r w:rsidR="00DE121C" w:rsidRPr="00F740BB">
                <w:rPr>
                  <w:rStyle w:val="Hyperlink"/>
                  <w:i/>
                  <w:iCs/>
                  <w:lang w:val="en-CA"/>
                </w:rPr>
                <w:t xml:space="preserve">eep you up at </w:t>
              </w:r>
              <w:r w:rsidR="00DE121C">
                <w:rPr>
                  <w:rStyle w:val="Hyperlink"/>
                  <w:i/>
                  <w:iCs/>
                  <w:lang w:val="en-CA"/>
                </w:rPr>
                <w:t>N</w:t>
              </w:r>
              <w:r w:rsidR="00DE121C" w:rsidRPr="00F740BB">
                <w:rPr>
                  <w:rStyle w:val="Hyperlink"/>
                  <w:i/>
                  <w:iCs/>
                  <w:lang w:val="en-CA"/>
                </w:rPr>
                <w:t>ight</w:t>
              </w:r>
            </w:hyperlink>
            <w:r w:rsidR="005C788F" w:rsidRPr="00F740BB">
              <w:rPr>
                <w:rStyle w:val="Hyperlink"/>
                <w:color w:val="auto"/>
                <w:u w:val="none"/>
                <w:lang w:val="en-CA"/>
              </w:rPr>
              <w:t>,</w:t>
            </w:r>
            <w:r w:rsidRPr="00F740BB">
              <w:rPr>
                <w:lang w:val="en-CA"/>
              </w:rPr>
              <w:t xml:space="preserve"> the </w:t>
            </w:r>
            <w:r w:rsidR="00AB428C" w:rsidRPr="00F740BB">
              <w:rPr>
                <w:lang w:val="en-CA"/>
              </w:rPr>
              <w:t xml:space="preserve">Standing Senate Committee on Banking, </w:t>
            </w:r>
            <w:r w:rsidR="006E0A18" w:rsidRPr="00F740BB">
              <w:rPr>
                <w:lang w:val="en-CA"/>
              </w:rPr>
              <w:t xml:space="preserve">Trade and Commerce (now, the Standing Senate Committee on Banking, </w:t>
            </w:r>
            <w:r w:rsidR="00AB428C" w:rsidRPr="00F740BB">
              <w:rPr>
                <w:lang w:val="en-CA"/>
              </w:rPr>
              <w:t>Commerce and the Economy</w:t>
            </w:r>
            <w:r w:rsidR="006E0A18" w:rsidRPr="00F740BB">
              <w:rPr>
                <w:lang w:val="en-CA"/>
              </w:rPr>
              <w:t>)</w:t>
            </w:r>
            <w:r w:rsidR="00AB428C" w:rsidRPr="00F740BB">
              <w:rPr>
                <w:lang w:val="en-CA"/>
              </w:rPr>
              <w:t xml:space="preserve"> </w:t>
            </w:r>
            <w:r w:rsidRPr="00F740BB">
              <w:rPr>
                <w:lang w:val="en-CA"/>
              </w:rPr>
              <w:t>recommend</w:t>
            </w:r>
            <w:r w:rsidR="0050114C" w:rsidRPr="00F740BB">
              <w:rPr>
                <w:lang w:val="en-CA"/>
              </w:rPr>
              <w:t>s</w:t>
            </w:r>
            <w:r w:rsidRPr="00F740BB">
              <w:rPr>
                <w:lang w:val="en-CA"/>
              </w:rPr>
              <w:t xml:space="preserve"> that all levels of government </w:t>
            </w:r>
            <w:r w:rsidR="006E0A18" w:rsidRPr="00F740BB">
              <w:rPr>
                <w:lang w:val="en-CA"/>
              </w:rPr>
              <w:t xml:space="preserve">in Canada should </w:t>
            </w:r>
            <w:r w:rsidRPr="00F740BB">
              <w:rPr>
                <w:lang w:val="en-CA"/>
              </w:rPr>
              <w:t>prioritize cybersecurity education in their cybersecurity strategies and provide funds for cybersecurity skills training programs</w:t>
            </w:r>
            <w:r w:rsidR="006E0A18" w:rsidRPr="00F740BB">
              <w:rPr>
                <w:lang w:val="en-CA"/>
              </w:rPr>
              <w:t xml:space="preserve">. Also recommended </w:t>
            </w:r>
            <w:r w:rsidR="0050114C" w:rsidRPr="00F740BB">
              <w:rPr>
                <w:lang w:val="en-CA"/>
              </w:rPr>
              <w:t>is</w:t>
            </w:r>
            <w:r w:rsidR="006E0A18" w:rsidRPr="00F740BB">
              <w:rPr>
                <w:lang w:val="en-CA"/>
              </w:rPr>
              <w:t xml:space="preserve"> the </w:t>
            </w:r>
            <w:r w:rsidR="00B47342" w:rsidRPr="00F740BB">
              <w:rPr>
                <w:lang w:val="en-CA"/>
              </w:rPr>
              <w:t>creation of</w:t>
            </w:r>
            <w:r w:rsidR="00D03861" w:rsidRPr="00F740BB">
              <w:rPr>
                <w:lang w:val="en-CA"/>
              </w:rPr>
              <w:t xml:space="preserve"> a</w:t>
            </w:r>
            <w:r w:rsidRPr="00F740BB">
              <w:rPr>
                <w:lang w:val="en-CA"/>
              </w:rPr>
              <w:t xml:space="preserve"> national cyber literacy program, </w:t>
            </w:r>
            <w:r w:rsidR="006E0A18" w:rsidRPr="00F740BB">
              <w:rPr>
                <w:lang w:val="en-CA"/>
              </w:rPr>
              <w:t xml:space="preserve">to be </w:t>
            </w:r>
            <w:r w:rsidRPr="00F740BB">
              <w:rPr>
                <w:lang w:val="en-CA"/>
              </w:rPr>
              <w:t>led by the Canadian Centre for</w:t>
            </w:r>
            <w:r w:rsidR="00D03861" w:rsidRPr="00F740BB">
              <w:rPr>
                <w:lang w:val="en-CA"/>
              </w:rPr>
              <w:t xml:space="preserve"> </w:t>
            </w:r>
            <w:r w:rsidRPr="00F740BB">
              <w:rPr>
                <w:lang w:val="en-CA"/>
              </w:rPr>
              <w:t>Cyber Security.</w:t>
            </w:r>
          </w:p>
        </w:tc>
      </w:tr>
      <w:tr w:rsidR="00687BE0" w:rsidRPr="00375E18" w14:paraId="6BDDCB9F" w14:textId="77777777" w:rsidTr="00816286">
        <w:tc>
          <w:tcPr>
            <w:tcW w:w="0" w:type="auto"/>
            <w:shd w:val="clear" w:color="auto" w:fill="F2F2F2" w:themeFill="background1" w:themeFillShade="F2"/>
          </w:tcPr>
          <w:p w14:paraId="0DB8685D" w14:textId="29C18CE5" w:rsidR="00687BE0" w:rsidRPr="00F740BB" w:rsidRDefault="00A9566A" w:rsidP="00F740BB">
            <w:pPr>
              <w:pStyle w:val="Default"/>
              <w:pageBreakBefore/>
              <w:numPr>
                <w:ilvl w:val="0"/>
                <w:numId w:val="1"/>
              </w:numPr>
              <w:autoSpaceDE/>
              <w:autoSpaceDN/>
              <w:adjustRightInd/>
              <w:contextualSpacing/>
              <w:rPr>
                <w:b/>
                <w:bCs/>
                <w:sz w:val="23"/>
                <w:szCs w:val="23"/>
                <w:lang w:val="en-CA"/>
              </w:rPr>
            </w:pPr>
            <w:r w:rsidRPr="00F740BB">
              <w:rPr>
                <w:b/>
                <w:bCs/>
                <w:lang w:val="en-CA"/>
              </w:rPr>
              <w:t xml:space="preserve">Recommend </w:t>
            </w:r>
            <w:r w:rsidRPr="00F740BB">
              <w:rPr>
                <w:lang w:val="en-CA"/>
              </w:rPr>
              <w:t>APPF Member Countries to support the APEC actions to develop sustainable digital economy and strengthen digital infrastructure and technologies while respecting applicable domestic laws and regulations.</w:t>
            </w:r>
          </w:p>
        </w:tc>
        <w:tc>
          <w:tcPr>
            <w:tcW w:w="0" w:type="auto"/>
          </w:tcPr>
          <w:p w14:paraId="7688742D" w14:textId="63D6888A" w:rsidR="00687BE0" w:rsidRPr="00375E18" w:rsidRDefault="008711AB" w:rsidP="00B71B8A">
            <w:pPr>
              <w:spacing w:before="120" w:after="120"/>
              <w:rPr>
                <w:lang w:val="en-CA"/>
              </w:rPr>
            </w:pPr>
            <w:r w:rsidRPr="00F740BB">
              <w:rPr>
                <w:lang w:val="en-CA"/>
              </w:rPr>
              <w:t>Canada supports</w:t>
            </w:r>
            <w:r w:rsidR="003F1261" w:rsidRPr="00F740BB">
              <w:rPr>
                <w:lang w:val="en-CA"/>
              </w:rPr>
              <w:t xml:space="preserve"> </w:t>
            </w:r>
            <w:r w:rsidR="00B47342" w:rsidRPr="00F740BB">
              <w:rPr>
                <w:lang w:val="en-CA"/>
              </w:rPr>
              <w:t xml:space="preserve">the </w:t>
            </w:r>
            <w:r w:rsidR="003F1261" w:rsidRPr="00F740BB">
              <w:rPr>
                <w:lang w:val="en-CA"/>
              </w:rPr>
              <w:t>Asia-Pacific Economic Cooperation</w:t>
            </w:r>
            <w:r w:rsidR="00375E18" w:rsidRPr="00F740BB">
              <w:rPr>
                <w:lang w:val="en-CA"/>
              </w:rPr>
              <w:t>’</w:t>
            </w:r>
            <w:r w:rsidR="003F1261" w:rsidRPr="00F740BB">
              <w:rPr>
                <w:lang w:val="en-CA"/>
              </w:rPr>
              <w:t>s</w:t>
            </w:r>
            <w:r w:rsidRPr="00F740BB">
              <w:rPr>
                <w:lang w:val="en-CA"/>
              </w:rPr>
              <w:t xml:space="preserve"> </w:t>
            </w:r>
            <w:r w:rsidR="003F1261" w:rsidRPr="00F740BB">
              <w:rPr>
                <w:lang w:val="en-CA"/>
              </w:rPr>
              <w:t>(</w:t>
            </w:r>
            <w:r w:rsidRPr="00F740BB">
              <w:rPr>
                <w:lang w:val="en-CA"/>
              </w:rPr>
              <w:t>APEC</w:t>
            </w:r>
            <w:r w:rsidR="00375E18" w:rsidRPr="00F740BB">
              <w:rPr>
                <w:lang w:val="en-CA"/>
              </w:rPr>
              <w:t>’</w:t>
            </w:r>
            <w:r w:rsidR="00B47342" w:rsidRPr="00F740BB">
              <w:rPr>
                <w:lang w:val="en-CA"/>
              </w:rPr>
              <w:t>s</w:t>
            </w:r>
            <w:r w:rsidR="003F1261" w:rsidRPr="00F740BB">
              <w:rPr>
                <w:lang w:val="en-CA"/>
              </w:rPr>
              <w:t>)</w:t>
            </w:r>
            <w:r w:rsidRPr="00F740BB">
              <w:rPr>
                <w:lang w:val="en-CA"/>
              </w:rPr>
              <w:t xml:space="preserve"> </w:t>
            </w:r>
            <w:r w:rsidR="003821F4" w:rsidRPr="00F740BB">
              <w:rPr>
                <w:lang w:val="en-CA"/>
              </w:rPr>
              <w:t>various initiative</w:t>
            </w:r>
            <w:r w:rsidR="005C788F" w:rsidRPr="00F740BB">
              <w:rPr>
                <w:lang w:val="en-CA"/>
              </w:rPr>
              <w:t>s</w:t>
            </w:r>
            <w:r w:rsidR="003821F4" w:rsidRPr="00F740BB">
              <w:rPr>
                <w:lang w:val="en-CA"/>
              </w:rPr>
              <w:t xml:space="preserve"> </w:t>
            </w:r>
            <w:r w:rsidR="006E0A18" w:rsidRPr="00F740BB">
              <w:rPr>
                <w:lang w:val="en-CA"/>
              </w:rPr>
              <w:t>concerning</w:t>
            </w:r>
            <w:r w:rsidRPr="00F740BB">
              <w:rPr>
                <w:lang w:val="en-CA"/>
              </w:rPr>
              <w:t xml:space="preserve"> </w:t>
            </w:r>
            <w:r w:rsidR="00DB7684" w:rsidRPr="00F740BB">
              <w:rPr>
                <w:lang w:val="en-CA"/>
              </w:rPr>
              <w:t xml:space="preserve">the digital economy. </w:t>
            </w:r>
            <w:r w:rsidR="003821F4" w:rsidRPr="00F740BB">
              <w:rPr>
                <w:lang w:val="en-CA"/>
              </w:rPr>
              <w:t>For example</w:t>
            </w:r>
            <w:r w:rsidR="00DB7684" w:rsidRPr="00F740BB">
              <w:rPr>
                <w:lang w:val="en-CA"/>
              </w:rPr>
              <w:t xml:space="preserve">, </w:t>
            </w:r>
            <w:r w:rsidR="006E0A18" w:rsidRPr="00F740BB">
              <w:rPr>
                <w:lang w:val="en-CA"/>
              </w:rPr>
              <w:t xml:space="preserve">in May 2022, </w:t>
            </w:r>
            <w:r w:rsidR="00931B1E" w:rsidRPr="00F740BB">
              <w:rPr>
                <w:lang w:val="en-CA"/>
              </w:rPr>
              <w:t>Minister of International Trade, Export Promotion, Small Business and Economic Development</w:t>
            </w:r>
            <w:r w:rsidR="006E0A18" w:rsidRPr="00F740BB">
              <w:rPr>
                <w:lang w:val="en-CA"/>
              </w:rPr>
              <w:t xml:space="preserve"> Mary Ng</w:t>
            </w:r>
            <w:r w:rsidR="00931B1E" w:rsidRPr="00F740BB">
              <w:rPr>
                <w:lang w:val="en-CA"/>
              </w:rPr>
              <w:t xml:space="preserve"> attended APEC</w:t>
            </w:r>
            <w:r w:rsidR="00375E18" w:rsidRPr="00F740BB">
              <w:rPr>
                <w:lang w:val="en-CA"/>
              </w:rPr>
              <w:t>’</w:t>
            </w:r>
            <w:r w:rsidR="00931B1E" w:rsidRPr="00F740BB">
              <w:rPr>
                <w:lang w:val="en-CA"/>
              </w:rPr>
              <w:t xml:space="preserve">s meeting of </w:t>
            </w:r>
            <w:r w:rsidR="0050114C" w:rsidRPr="00F740BB">
              <w:rPr>
                <w:lang w:val="en-CA"/>
              </w:rPr>
              <w:t>m</w:t>
            </w:r>
            <w:r w:rsidR="00931B1E" w:rsidRPr="00F740BB">
              <w:rPr>
                <w:lang w:val="en-CA"/>
              </w:rPr>
              <w:t xml:space="preserve">inisters </w:t>
            </w:r>
            <w:r w:rsidR="0050114C" w:rsidRPr="00F740BB">
              <w:rPr>
                <w:lang w:val="en-CA"/>
              </w:rPr>
              <w:t>r</w:t>
            </w:r>
            <w:r w:rsidR="00931B1E" w:rsidRPr="00F740BB">
              <w:rPr>
                <w:lang w:val="en-CA"/>
              </w:rPr>
              <w:t xml:space="preserve">esponsible for </w:t>
            </w:r>
            <w:r w:rsidR="0050114C" w:rsidRPr="00F740BB">
              <w:rPr>
                <w:lang w:val="en-CA"/>
              </w:rPr>
              <w:t>t</w:t>
            </w:r>
            <w:r w:rsidR="00931B1E" w:rsidRPr="00F740BB">
              <w:rPr>
                <w:lang w:val="en-CA"/>
              </w:rPr>
              <w:t>rade</w:t>
            </w:r>
            <w:r w:rsidR="00593484" w:rsidRPr="00F740BB">
              <w:rPr>
                <w:lang w:val="en-CA"/>
              </w:rPr>
              <w:t>.</w:t>
            </w:r>
            <w:r w:rsidR="00304DCE" w:rsidRPr="00F740BB">
              <w:rPr>
                <w:lang w:val="en-CA"/>
              </w:rPr>
              <w:t xml:space="preserve"> At th</w:t>
            </w:r>
            <w:r w:rsidR="006E0A18" w:rsidRPr="00F740BB">
              <w:rPr>
                <w:lang w:val="en-CA"/>
              </w:rPr>
              <w:t>e</w:t>
            </w:r>
            <w:r w:rsidR="00304DCE" w:rsidRPr="00F740BB">
              <w:rPr>
                <w:lang w:val="en-CA"/>
              </w:rPr>
              <w:t xml:space="preserve"> meeting, </w:t>
            </w:r>
            <w:r w:rsidR="006E0A18" w:rsidRPr="00F740BB">
              <w:rPr>
                <w:lang w:val="en-CA"/>
              </w:rPr>
              <w:t>M</w:t>
            </w:r>
            <w:r w:rsidR="00304DCE" w:rsidRPr="00F740BB">
              <w:rPr>
                <w:lang w:val="en-CA"/>
              </w:rPr>
              <w:t>inister</w:t>
            </w:r>
            <w:r w:rsidR="00300DF0" w:rsidRPr="00F740BB">
              <w:rPr>
                <w:lang w:val="en-CA"/>
              </w:rPr>
              <w:t> </w:t>
            </w:r>
            <w:r w:rsidR="006E0A18" w:rsidRPr="00F740BB">
              <w:rPr>
                <w:lang w:val="en-CA"/>
              </w:rPr>
              <w:t>Ng</w:t>
            </w:r>
            <w:r w:rsidR="00304DCE" w:rsidRPr="00F740BB">
              <w:rPr>
                <w:lang w:val="en-CA"/>
              </w:rPr>
              <w:t xml:space="preserve"> </w:t>
            </w:r>
            <w:hyperlink r:id="rId62" w:history="1">
              <w:r w:rsidR="00304DCE" w:rsidRPr="00F740BB">
                <w:rPr>
                  <w:rStyle w:val="Hyperlink"/>
                  <w:lang w:val="en-CA"/>
                </w:rPr>
                <w:t>announced</w:t>
              </w:r>
            </w:hyperlink>
            <w:r w:rsidR="00304DCE" w:rsidRPr="00F740BB">
              <w:rPr>
                <w:lang w:val="en-CA"/>
              </w:rPr>
              <w:t xml:space="preserve"> </w:t>
            </w:r>
            <w:r w:rsidR="006431A0" w:rsidRPr="00F740BB">
              <w:rPr>
                <w:lang w:val="en-CA"/>
              </w:rPr>
              <w:t>Canada</w:t>
            </w:r>
            <w:r w:rsidR="00375E18" w:rsidRPr="00F740BB">
              <w:rPr>
                <w:lang w:val="en-CA"/>
              </w:rPr>
              <w:t>’</w:t>
            </w:r>
            <w:r w:rsidR="006431A0" w:rsidRPr="00F740BB">
              <w:rPr>
                <w:lang w:val="en-CA"/>
              </w:rPr>
              <w:t xml:space="preserve">s application to accede to the </w:t>
            </w:r>
            <w:hyperlink r:id="rId63" w:history="1">
              <w:r w:rsidR="006431A0" w:rsidRPr="009E43A0">
                <w:rPr>
                  <w:rStyle w:val="Hyperlink"/>
                  <w:i/>
                  <w:iCs/>
                  <w:lang w:val="en-CA"/>
                </w:rPr>
                <w:t>Digital Economy Partnership Agreement</w:t>
              </w:r>
            </w:hyperlink>
            <w:r w:rsidR="006431A0" w:rsidRPr="00F740BB">
              <w:rPr>
                <w:lang w:val="en-CA"/>
              </w:rPr>
              <w:t xml:space="preserve"> (DEPA)</w:t>
            </w:r>
            <w:r w:rsidR="00366908" w:rsidRPr="00F740BB">
              <w:rPr>
                <w:lang w:val="en-CA"/>
              </w:rPr>
              <w:t xml:space="preserve">. </w:t>
            </w:r>
            <w:r w:rsidR="00B47342" w:rsidRPr="00F740BB">
              <w:rPr>
                <w:lang w:val="en-CA"/>
              </w:rPr>
              <w:t>I</w:t>
            </w:r>
            <w:r w:rsidR="00B25C16" w:rsidRPr="00F740BB">
              <w:rPr>
                <w:lang w:val="en-CA"/>
              </w:rPr>
              <w:t xml:space="preserve">nitiated by Chile, New </w:t>
            </w:r>
            <w:r w:rsidR="009A3368" w:rsidRPr="00F740BB">
              <w:rPr>
                <w:lang w:val="en-CA"/>
              </w:rPr>
              <w:t>Zealand</w:t>
            </w:r>
            <w:r w:rsidR="00B25C16" w:rsidRPr="00F740BB">
              <w:rPr>
                <w:lang w:val="en-CA"/>
              </w:rPr>
              <w:t xml:space="preserve"> and Singapore </w:t>
            </w:r>
            <w:r w:rsidR="00B47342" w:rsidRPr="00F740BB">
              <w:rPr>
                <w:lang w:val="en-CA"/>
              </w:rPr>
              <w:t>with the goal of</w:t>
            </w:r>
            <w:r w:rsidR="00B25C16" w:rsidRPr="00F740BB">
              <w:rPr>
                <w:lang w:val="en-CA"/>
              </w:rPr>
              <w:t xml:space="preserve"> facilitat</w:t>
            </w:r>
            <w:r w:rsidR="00B47342" w:rsidRPr="00F740BB">
              <w:rPr>
                <w:lang w:val="en-CA"/>
              </w:rPr>
              <w:t>ing</w:t>
            </w:r>
            <w:r w:rsidR="00B25C16" w:rsidRPr="00F740BB">
              <w:rPr>
                <w:lang w:val="en-CA"/>
              </w:rPr>
              <w:t xml:space="preserve"> digital trade</w:t>
            </w:r>
            <w:r w:rsidR="00B47342" w:rsidRPr="00F740BB">
              <w:rPr>
                <w:lang w:val="en-CA"/>
              </w:rPr>
              <w:t>, DEPA is a plurilateral trade agreement negotiated within the World Trade Organization</w:t>
            </w:r>
            <w:r w:rsidR="00B25C16" w:rsidRPr="00F740BB">
              <w:rPr>
                <w:lang w:val="en-CA"/>
              </w:rPr>
              <w:t xml:space="preserve">. This agreement </w:t>
            </w:r>
            <w:r w:rsidR="00EE7FE6" w:rsidRPr="00F740BB">
              <w:rPr>
                <w:lang w:val="en-CA"/>
              </w:rPr>
              <w:t>builds on some of the digital trade or e-commerce</w:t>
            </w:r>
            <w:r w:rsidR="006E0A18" w:rsidRPr="00F740BB">
              <w:rPr>
                <w:lang w:val="en-CA"/>
              </w:rPr>
              <w:t xml:space="preserve"> commitments</w:t>
            </w:r>
            <w:r w:rsidR="00EE7FE6" w:rsidRPr="00F740BB">
              <w:rPr>
                <w:lang w:val="en-CA"/>
              </w:rPr>
              <w:t xml:space="preserve"> that Canada </w:t>
            </w:r>
            <w:r w:rsidR="006E0A18" w:rsidRPr="00F740BB">
              <w:rPr>
                <w:lang w:val="en-CA"/>
              </w:rPr>
              <w:t>has made in</w:t>
            </w:r>
            <w:r w:rsidR="00EE7FE6" w:rsidRPr="00F740BB">
              <w:rPr>
                <w:lang w:val="en-CA"/>
              </w:rPr>
              <w:t xml:space="preserve"> the </w:t>
            </w:r>
            <w:r w:rsidR="006C410F" w:rsidRPr="00F740BB">
              <w:rPr>
                <w:i/>
                <w:iCs/>
                <w:lang w:val="en-CA"/>
              </w:rPr>
              <w:t>Comprehensive and Progressive Agreement for Trans-Pacific Partnership</w:t>
            </w:r>
            <w:r w:rsidR="006E0A18" w:rsidRPr="00F740BB">
              <w:rPr>
                <w:lang w:val="en-CA"/>
              </w:rPr>
              <w:t>, but also</w:t>
            </w:r>
            <w:r w:rsidR="00AE2C08" w:rsidRPr="00F740BB">
              <w:rPr>
                <w:lang w:val="en-CA"/>
              </w:rPr>
              <w:t xml:space="preserve"> cover</w:t>
            </w:r>
            <w:r w:rsidR="006E0A18" w:rsidRPr="00F740BB">
              <w:rPr>
                <w:lang w:val="en-CA"/>
              </w:rPr>
              <w:t>s additional</w:t>
            </w:r>
            <w:r w:rsidR="00AE2C08" w:rsidRPr="00F740BB">
              <w:rPr>
                <w:lang w:val="en-CA"/>
              </w:rPr>
              <w:t xml:space="preserve"> issues</w:t>
            </w:r>
            <w:r w:rsidR="006E0A18" w:rsidRPr="00F740BB">
              <w:rPr>
                <w:lang w:val="en-CA"/>
              </w:rPr>
              <w:t>,</w:t>
            </w:r>
            <w:r w:rsidR="00AE2C08" w:rsidRPr="00F740BB">
              <w:rPr>
                <w:lang w:val="en-CA"/>
              </w:rPr>
              <w:t xml:space="preserve"> such as interconnection, cooperation on competition policy,</w:t>
            </w:r>
            <w:r w:rsidR="006E1EE7" w:rsidRPr="00F740BB">
              <w:rPr>
                <w:lang w:val="en-CA"/>
              </w:rPr>
              <w:t xml:space="preserve"> </w:t>
            </w:r>
            <w:r w:rsidR="00AE2C08" w:rsidRPr="00F740BB">
              <w:rPr>
                <w:lang w:val="en-CA"/>
              </w:rPr>
              <w:t>public</w:t>
            </w:r>
            <w:r w:rsidR="00B47342" w:rsidRPr="00F740BB">
              <w:rPr>
                <w:lang w:val="en-CA"/>
              </w:rPr>
              <w:t>-</w:t>
            </w:r>
            <w:r w:rsidR="00AE2C08" w:rsidRPr="00F740BB">
              <w:rPr>
                <w:lang w:val="en-CA"/>
              </w:rPr>
              <w:t xml:space="preserve">domain </w:t>
            </w:r>
            <w:r w:rsidR="006E1EE7" w:rsidRPr="00F740BB">
              <w:rPr>
                <w:lang w:val="en-CA"/>
              </w:rPr>
              <w:t xml:space="preserve">data </w:t>
            </w:r>
            <w:r w:rsidR="00AE2C08" w:rsidRPr="00F740BB">
              <w:rPr>
                <w:lang w:val="en-CA"/>
              </w:rPr>
              <w:t>and electronic payments.</w:t>
            </w:r>
          </w:p>
        </w:tc>
      </w:tr>
    </w:tbl>
    <w:p w14:paraId="7BDD514E" w14:textId="486CAC64" w:rsidR="003175CA" w:rsidRPr="00375E18" w:rsidRDefault="003175CA">
      <w:pPr>
        <w:rPr>
          <w:lang w:val="en-CA"/>
        </w:rPr>
      </w:pPr>
    </w:p>
    <w:sectPr w:rsidR="003175CA" w:rsidRPr="00375E18" w:rsidSect="00E84AE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A6A1" w14:textId="77777777" w:rsidR="009C7CD7" w:rsidRDefault="009C7CD7" w:rsidP="00E40E30">
      <w:pPr>
        <w:spacing w:after="0" w:line="240" w:lineRule="auto"/>
      </w:pPr>
      <w:r>
        <w:separator/>
      </w:r>
    </w:p>
  </w:endnote>
  <w:endnote w:type="continuationSeparator" w:id="0">
    <w:p w14:paraId="4A805D7E" w14:textId="77777777" w:rsidR="009C7CD7" w:rsidRDefault="009C7CD7" w:rsidP="00E40E30">
      <w:pPr>
        <w:spacing w:after="0" w:line="240" w:lineRule="auto"/>
      </w:pPr>
      <w:r>
        <w:continuationSeparator/>
      </w:r>
    </w:p>
  </w:endnote>
  <w:endnote w:type="continuationNotice" w:id="1">
    <w:p w14:paraId="4F3630B2" w14:textId="77777777" w:rsidR="000F5A4D" w:rsidRDefault="000F5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889" w14:textId="77777777" w:rsidR="00C919CF" w:rsidRDefault="00C91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CD21" w14:textId="77777777" w:rsidR="00C919CF" w:rsidRDefault="00C91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502F" w14:textId="77777777" w:rsidR="00C919CF" w:rsidRDefault="00C91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5F8F" w14:textId="77777777" w:rsidR="009C7CD7" w:rsidRDefault="009C7CD7" w:rsidP="00E40E30">
      <w:pPr>
        <w:spacing w:after="0" w:line="240" w:lineRule="auto"/>
      </w:pPr>
      <w:r>
        <w:separator/>
      </w:r>
    </w:p>
  </w:footnote>
  <w:footnote w:type="continuationSeparator" w:id="0">
    <w:p w14:paraId="1C3C5BDD" w14:textId="77777777" w:rsidR="009C7CD7" w:rsidRDefault="009C7CD7" w:rsidP="00E40E30">
      <w:pPr>
        <w:spacing w:after="0" w:line="240" w:lineRule="auto"/>
      </w:pPr>
      <w:r>
        <w:continuationSeparator/>
      </w:r>
    </w:p>
  </w:footnote>
  <w:footnote w:type="continuationNotice" w:id="1">
    <w:p w14:paraId="529B6039" w14:textId="77777777" w:rsidR="000F5A4D" w:rsidRDefault="000F5A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DCF1" w14:textId="77777777" w:rsidR="00C919CF" w:rsidRDefault="00C91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9C04" w14:textId="77777777" w:rsidR="00C919CF" w:rsidRDefault="00C91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4BA9" w14:textId="77777777" w:rsidR="00C919CF" w:rsidRDefault="00C91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30998"/>
    <w:multiLevelType w:val="hybridMultilevel"/>
    <w:tmpl w:val="0A304B82"/>
    <w:lvl w:ilvl="0" w:tplc="F7F6257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4765D48"/>
    <w:multiLevelType w:val="multilevel"/>
    <w:tmpl w:val="D4ECD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517DE"/>
    <w:multiLevelType w:val="multilevel"/>
    <w:tmpl w:val="CBAE8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A748C"/>
    <w:multiLevelType w:val="hybridMultilevel"/>
    <w:tmpl w:val="0A304B82"/>
    <w:lvl w:ilvl="0" w:tplc="F7F6257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FE17DB0"/>
    <w:multiLevelType w:val="multilevel"/>
    <w:tmpl w:val="3E9A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42E8F"/>
    <w:multiLevelType w:val="hybridMultilevel"/>
    <w:tmpl w:val="6C06A03A"/>
    <w:lvl w:ilvl="0" w:tplc="781E7978">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90578246">
    <w:abstractNumId w:val="3"/>
  </w:num>
  <w:num w:numId="2" w16cid:durableId="1338924477">
    <w:abstractNumId w:val="0"/>
  </w:num>
  <w:num w:numId="3" w16cid:durableId="1933127335">
    <w:abstractNumId w:val="4"/>
  </w:num>
  <w:num w:numId="4" w16cid:durableId="1796413459">
    <w:abstractNumId w:val="2"/>
  </w:num>
  <w:num w:numId="5" w16cid:durableId="863707280">
    <w:abstractNumId w:val="1"/>
  </w:num>
  <w:num w:numId="6" w16cid:durableId="1593855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5"/>
    <w:rsid w:val="00004237"/>
    <w:rsid w:val="000108A9"/>
    <w:rsid w:val="000153D8"/>
    <w:rsid w:val="00020474"/>
    <w:rsid w:val="00020946"/>
    <w:rsid w:val="000308A3"/>
    <w:rsid w:val="00033668"/>
    <w:rsid w:val="00034C7A"/>
    <w:rsid w:val="0003515F"/>
    <w:rsid w:val="000421A8"/>
    <w:rsid w:val="00043711"/>
    <w:rsid w:val="00044B2B"/>
    <w:rsid w:val="00050E4E"/>
    <w:rsid w:val="00051CC9"/>
    <w:rsid w:val="00070345"/>
    <w:rsid w:val="00082901"/>
    <w:rsid w:val="00086669"/>
    <w:rsid w:val="00087705"/>
    <w:rsid w:val="000A693D"/>
    <w:rsid w:val="000B068C"/>
    <w:rsid w:val="000B5944"/>
    <w:rsid w:val="000D2977"/>
    <w:rsid w:val="000E052D"/>
    <w:rsid w:val="000F5A4D"/>
    <w:rsid w:val="001046B6"/>
    <w:rsid w:val="0010709D"/>
    <w:rsid w:val="001074DA"/>
    <w:rsid w:val="00107FCD"/>
    <w:rsid w:val="00110393"/>
    <w:rsid w:val="001153DF"/>
    <w:rsid w:val="00126FBD"/>
    <w:rsid w:val="001279DF"/>
    <w:rsid w:val="00134A1A"/>
    <w:rsid w:val="0013644B"/>
    <w:rsid w:val="00136846"/>
    <w:rsid w:val="00137815"/>
    <w:rsid w:val="0014113D"/>
    <w:rsid w:val="00146298"/>
    <w:rsid w:val="001466AB"/>
    <w:rsid w:val="00146CC1"/>
    <w:rsid w:val="00147E64"/>
    <w:rsid w:val="00153565"/>
    <w:rsid w:val="00154816"/>
    <w:rsid w:val="001549F9"/>
    <w:rsid w:val="00154A1D"/>
    <w:rsid w:val="00165E27"/>
    <w:rsid w:val="001700C5"/>
    <w:rsid w:val="0017407D"/>
    <w:rsid w:val="00174D39"/>
    <w:rsid w:val="00190020"/>
    <w:rsid w:val="00190814"/>
    <w:rsid w:val="00190C72"/>
    <w:rsid w:val="00192D6E"/>
    <w:rsid w:val="00193F64"/>
    <w:rsid w:val="001975D1"/>
    <w:rsid w:val="001975F5"/>
    <w:rsid w:val="001B6383"/>
    <w:rsid w:val="001B68B4"/>
    <w:rsid w:val="001C2419"/>
    <w:rsid w:val="001C7371"/>
    <w:rsid w:val="001D1D4E"/>
    <w:rsid w:val="001D5928"/>
    <w:rsid w:val="001D732B"/>
    <w:rsid w:val="001E4CCA"/>
    <w:rsid w:val="001E7664"/>
    <w:rsid w:val="001F3CE2"/>
    <w:rsid w:val="00205A89"/>
    <w:rsid w:val="00206AE0"/>
    <w:rsid w:val="00207FAB"/>
    <w:rsid w:val="00210735"/>
    <w:rsid w:val="00211766"/>
    <w:rsid w:val="00213A5B"/>
    <w:rsid w:val="00225E9F"/>
    <w:rsid w:val="0023593A"/>
    <w:rsid w:val="00242335"/>
    <w:rsid w:val="002452CC"/>
    <w:rsid w:val="00263C6B"/>
    <w:rsid w:val="00292FFD"/>
    <w:rsid w:val="00293F57"/>
    <w:rsid w:val="00295B20"/>
    <w:rsid w:val="00297B9E"/>
    <w:rsid w:val="002A089A"/>
    <w:rsid w:val="002A14EB"/>
    <w:rsid w:val="002B60E0"/>
    <w:rsid w:val="002B7231"/>
    <w:rsid w:val="002C2328"/>
    <w:rsid w:val="002C3EB8"/>
    <w:rsid w:val="002C68A0"/>
    <w:rsid w:val="002D0452"/>
    <w:rsid w:val="002D0C94"/>
    <w:rsid w:val="002D2BED"/>
    <w:rsid w:val="002D483B"/>
    <w:rsid w:val="002D4E02"/>
    <w:rsid w:val="002D7A85"/>
    <w:rsid w:val="002E3AB4"/>
    <w:rsid w:val="002E4938"/>
    <w:rsid w:val="002E71CE"/>
    <w:rsid w:val="002E7EA6"/>
    <w:rsid w:val="00300DF0"/>
    <w:rsid w:val="00304DCE"/>
    <w:rsid w:val="00306731"/>
    <w:rsid w:val="00310DB8"/>
    <w:rsid w:val="0031105D"/>
    <w:rsid w:val="00313A4C"/>
    <w:rsid w:val="00315C10"/>
    <w:rsid w:val="003175CA"/>
    <w:rsid w:val="003264E6"/>
    <w:rsid w:val="00333AB8"/>
    <w:rsid w:val="00334174"/>
    <w:rsid w:val="00336015"/>
    <w:rsid w:val="0034309D"/>
    <w:rsid w:val="00353573"/>
    <w:rsid w:val="00353ECB"/>
    <w:rsid w:val="00366908"/>
    <w:rsid w:val="00371BF5"/>
    <w:rsid w:val="00375E18"/>
    <w:rsid w:val="00381FFB"/>
    <w:rsid w:val="003821F4"/>
    <w:rsid w:val="00392FE0"/>
    <w:rsid w:val="003A22B8"/>
    <w:rsid w:val="003A7FB5"/>
    <w:rsid w:val="003C1187"/>
    <w:rsid w:val="003D46DB"/>
    <w:rsid w:val="003D4E89"/>
    <w:rsid w:val="003E2DF2"/>
    <w:rsid w:val="003E46CC"/>
    <w:rsid w:val="003E4CD3"/>
    <w:rsid w:val="003F1261"/>
    <w:rsid w:val="003F68FE"/>
    <w:rsid w:val="00400E09"/>
    <w:rsid w:val="004100C5"/>
    <w:rsid w:val="00414308"/>
    <w:rsid w:val="00421011"/>
    <w:rsid w:val="004233B7"/>
    <w:rsid w:val="004309DC"/>
    <w:rsid w:val="00436CE4"/>
    <w:rsid w:val="00446E5E"/>
    <w:rsid w:val="00452AB1"/>
    <w:rsid w:val="00456CBB"/>
    <w:rsid w:val="0046696C"/>
    <w:rsid w:val="004735B0"/>
    <w:rsid w:val="004751DF"/>
    <w:rsid w:val="0048090B"/>
    <w:rsid w:val="004838A6"/>
    <w:rsid w:val="00483A66"/>
    <w:rsid w:val="00484A48"/>
    <w:rsid w:val="004908EF"/>
    <w:rsid w:val="004A73CC"/>
    <w:rsid w:val="004B121F"/>
    <w:rsid w:val="004B3CCA"/>
    <w:rsid w:val="004B3D4B"/>
    <w:rsid w:val="004C31A8"/>
    <w:rsid w:val="004C37D5"/>
    <w:rsid w:val="004C6DA6"/>
    <w:rsid w:val="004D1731"/>
    <w:rsid w:val="004D5EBF"/>
    <w:rsid w:val="004E198A"/>
    <w:rsid w:val="004F709B"/>
    <w:rsid w:val="0050114C"/>
    <w:rsid w:val="0050792F"/>
    <w:rsid w:val="00510925"/>
    <w:rsid w:val="00515A87"/>
    <w:rsid w:val="00516D9D"/>
    <w:rsid w:val="005209A4"/>
    <w:rsid w:val="00520B26"/>
    <w:rsid w:val="005214AB"/>
    <w:rsid w:val="00524A91"/>
    <w:rsid w:val="0052522B"/>
    <w:rsid w:val="0052605E"/>
    <w:rsid w:val="005267C8"/>
    <w:rsid w:val="00527A42"/>
    <w:rsid w:val="00533279"/>
    <w:rsid w:val="005375FF"/>
    <w:rsid w:val="0053761E"/>
    <w:rsid w:val="00537E58"/>
    <w:rsid w:val="0054118F"/>
    <w:rsid w:val="00544C85"/>
    <w:rsid w:val="00550BFE"/>
    <w:rsid w:val="0055718C"/>
    <w:rsid w:val="00560064"/>
    <w:rsid w:val="00564B9D"/>
    <w:rsid w:val="00572E53"/>
    <w:rsid w:val="005852BC"/>
    <w:rsid w:val="00590DD3"/>
    <w:rsid w:val="00593484"/>
    <w:rsid w:val="00593552"/>
    <w:rsid w:val="00593DD3"/>
    <w:rsid w:val="005A2934"/>
    <w:rsid w:val="005A306A"/>
    <w:rsid w:val="005A6DEA"/>
    <w:rsid w:val="005B3345"/>
    <w:rsid w:val="005B61D7"/>
    <w:rsid w:val="005B7FA2"/>
    <w:rsid w:val="005C5C06"/>
    <w:rsid w:val="005C6F99"/>
    <w:rsid w:val="005C788F"/>
    <w:rsid w:val="005D113F"/>
    <w:rsid w:val="005D41BA"/>
    <w:rsid w:val="005E0A34"/>
    <w:rsid w:val="005E494A"/>
    <w:rsid w:val="005F004F"/>
    <w:rsid w:val="006030AA"/>
    <w:rsid w:val="0060447B"/>
    <w:rsid w:val="0062714D"/>
    <w:rsid w:val="006272E2"/>
    <w:rsid w:val="00634625"/>
    <w:rsid w:val="00634D22"/>
    <w:rsid w:val="00637430"/>
    <w:rsid w:val="006403BE"/>
    <w:rsid w:val="006403CE"/>
    <w:rsid w:val="00641138"/>
    <w:rsid w:val="006431A0"/>
    <w:rsid w:val="00644583"/>
    <w:rsid w:val="00651E0A"/>
    <w:rsid w:val="006567CA"/>
    <w:rsid w:val="00663B73"/>
    <w:rsid w:val="00664560"/>
    <w:rsid w:val="006656F8"/>
    <w:rsid w:val="0067615E"/>
    <w:rsid w:val="006831EE"/>
    <w:rsid w:val="00685430"/>
    <w:rsid w:val="00685ACD"/>
    <w:rsid w:val="00687BE0"/>
    <w:rsid w:val="006A0580"/>
    <w:rsid w:val="006A4105"/>
    <w:rsid w:val="006A7552"/>
    <w:rsid w:val="006B4512"/>
    <w:rsid w:val="006B7737"/>
    <w:rsid w:val="006C3772"/>
    <w:rsid w:val="006C37BC"/>
    <w:rsid w:val="006C410F"/>
    <w:rsid w:val="006D307E"/>
    <w:rsid w:val="006D3B9D"/>
    <w:rsid w:val="006D7FE1"/>
    <w:rsid w:val="006E0A18"/>
    <w:rsid w:val="006E1EE7"/>
    <w:rsid w:val="006E509F"/>
    <w:rsid w:val="006E6F5D"/>
    <w:rsid w:val="006F475E"/>
    <w:rsid w:val="006F733E"/>
    <w:rsid w:val="007017F1"/>
    <w:rsid w:val="0071188D"/>
    <w:rsid w:val="00711BB1"/>
    <w:rsid w:val="007143CD"/>
    <w:rsid w:val="00726553"/>
    <w:rsid w:val="0073146E"/>
    <w:rsid w:val="007316A0"/>
    <w:rsid w:val="00733E22"/>
    <w:rsid w:val="00734835"/>
    <w:rsid w:val="007379DF"/>
    <w:rsid w:val="007417F3"/>
    <w:rsid w:val="00754F9C"/>
    <w:rsid w:val="00760B69"/>
    <w:rsid w:val="00762348"/>
    <w:rsid w:val="00762BAF"/>
    <w:rsid w:val="00775B95"/>
    <w:rsid w:val="00776156"/>
    <w:rsid w:val="00780B1C"/>
    <w:rsid w:val="0078395F"/>
    <w:rsid w:val="007853CB"/>
    <w:rsid w:val="007856C1"/>
    <w:rsid w:val="00787BFC"/>
    <w:rsid w:val="00787E1F"/>
    <w:rsid w:val="00793920"/>
    <w:rsid w:val="007A26F3"/>
    <w:rsid w:val="007A3FDC"/>
    <w:rsid w:val="007A4748"/>
    <w:rsid w:val="007B11A2"/>
    <w:rsid w:val="007B3065"/>
    <w:rsid w:val="007B69FA"/>
    <w:rsid w:val="007D538F"/>
    <w:rsid w:val="007E06BB"/>
    <w:rsid w:val="007E13AD"/>
    <w:rsid w:val="007E35F3"/>
    <w:rsid w:val="007E407D"/>
    <w:rsid w:val="007F7C5F"/>
    <w:rsid w:val="00801A76"/>
    <w:rsid w:val="00803E0F"/>
    <w:rsid w:val="008068A8"/>
    <w:rsid w:val="00810332"/>
    <w:rsid w:val="00816286"/>
    <w:rsid w:val="00820AFD"/>
    <w:rsid w:val="00823CED"/>
    <w:rsid w:val="00824DC7"/>
    <w:rsid w:val="0083209E"/>
    <w:rsid w:val="00832B13"/>
    <w:rsid w:val="008356C0"/>
    <w:rsid w:val="008364EB"/>
    <w:rsid w:val="0084206A"/>
    <w:rsid w:val="0084372E"/>
    <w:rsid w:val="00851E96"/>
    <w:rsid w:val="0085679D"/>
    <w:rsid w:val="00865C5D"/>
    <w:rsid w:val="00867C16"/>
    <w:rsid w:val="008711AB"/>
    <w:rsid w:val="00872DFE"/>
    <w:rsid w:val="00880CEE"/>
    <w:rsid w:val="0088438A"/>
    <w:rsid w:val="00886190"/>
    <w:rsid w:val="008A5B6C"/>
    <w:rsid w:val="008A64B5"/>
    <w:rsid w:val="008A75A0"/>
    <w:rsid w:val="008B21F1"/>
    <w:rsid w:val="008B4ACE"/>
    <w:rsid w:val="008B6981"/>
    <w:rsid w:val="008B6DB1"/>
    <w:rsid w:val="008C0DFF"/>
    <w:rsid w:val="008D3D8A"/>
    <w:rsid w:val="008D4D28"/>
    <w:rsid w:val="008E29D3"/>
    <w:rsid w:val="008E6777"/>
    <w:rsid w:val="008E77FE"/>
    <w:rsid w:val="008F022C"/>
    <w:rsid w:val="008F0CD1"/>
    <w:rsid w:val="008F43C8"/>
    <w:rsid w:val="008F5D72"/>
    <w:rsid w:val="009152BE"/>
    <w:rsid w:val="009272BB"/>
    <w:rsid w:val="00931B1E"/>
    <w:rsid w:val="0094266F"/>
    <w:rsid w:val="00942C21"/>
    <w:rsid w:val="00942CCD"/>
    <w:rsid w:val="009447FC"/>
    <w:rsid w:val="00946678"/>
    <w:rsid w:val="009579D2"/>
    <w:rsid w:val="00966CA5"/>
    <w:rsid w:val="009711DD"/>
    <w:rsid w:val="009732D9"/>
    <w:rsid w:val="00987263"/>
    <w:rsid w:val="009A3368"/>
    <w:rsid w:val="009A4F48"/>
    <w:rsid w:val="009B3140"/>
    <w:rsid w:val="009B4454"/>
    <w:rsid w:val="009C4872"/>
    <w:rsid w:val="009C6A3A"/>
    <w:rsid w:val="009C712D"/>
    <w:rsid w:val="009C7CD7"/>
    <w:rsid w:val="009D30AD"/>
    <w:rsid w:val="009D3CC0"/>
    <w:rsid w:val="009D600E"/>
    <w:rsid w:val="009E43A0"/>
    <w:rsid w:val="009E5FCC"/>
    <w:rsid w:val="009F14B4"/>
    <w:rsid w:val="009F5DD2"/>
    <w:rsid w:val="009F6307"/>
    <w:rsid w:val="00A02089"/>
    <w:rsid w:val="00A10D1E"/>
    <w:rsid w:val="00A111EF"/>
    <w:rsid w:val="00A119C9"/>
    <w:rsid w:val="00A156AD"/>
    <w:rsid w:val="00A16317"/>
    <w:rsid w:val="00A22A7A"/>
    <w:rsid w:val="00A27348"/>
    <w:rsid w:val="00A43A29"/>
    <w:rsid w:val="00A45CE6"/>
    <w:rsid w:val="00A47501"/>
    <w:rsid w:val="00A64899"/>
    <w:rsid w:val="00A6605E"/>
    <w:rsid w:val="00A66AD0"/>
    <w:rsid w:val="00A724A4"/>
    <w:rsid w:val="00A748FE"/>
    <w:rsid w:val="00A86C50"/>
    <w:rsid w:val="00A87E11"/>
    <w:rsid w:val="00A921F0"/>
    <w:rsid w:val="00A92A65"/>
    <w:rsid w:val="00A946AB"/>
    <w:rsid w:val="00A9566A"/>
    <w:rsid w:val="00AA5300"/>
    <w:rsid w:val="00AA6D13"/>
    <w:rsid w:val="00AB2839"/>
    <w:rsid w:val="00AB2B24"/>
    <w:rsid w:val="00AB428C"/>
    <w:rsid w:val="00AB4B3E"/>
    <w:rsid w:val="00AB7033"/>
    <w:rsid w:val="00AC44A9"/>
    <w:rsid w:val="00AE2C08"/>
    <w:rsid w:val="00AF3302"/>
    <w:rsid w:val="00AF6639"/>
    <w:rsid w:val="00B029E9"/>
    <w:rsid w:val="00B0416A"/>
    <w:rsid w:val="00B14509"/>
    <w:rsid w:val="00B14878"/>
    <w:rsid w:val="00B179B4"/>
    <w:rsid w:val="00B20438"/>
    <w:rsid w:val="00B25C16"/>
    <w:rsid w:val="00B365A8"/>
    <w:rsid w:val="00B419F7"/>
    <w:rsid w:val="00B42A5A"/>
    <w:rsid w:val="00B456A2"/>
    <w:rsid w:val="00B47342"/>
    <w:rsid w:val="00B51AE8"/>
    <w:rsid w:val="00B71B8A"/>
    <w:rsid w:val="00B71CAE"/>
    <w:rsid w:val="00B736A4"/>
    <w:rsid w:val="00B852C3"/>
    <w:rsid w:val="00B87F6C"/>
    <w:rsid w:val="00B934F2"/>
    <w:rsid w:val="00B94F1E"/>
    <w:rsid w:val="00BA4413"/>
    <w:rsid w:val="00BA6522"/>
    <w:rsid w:val="00BB01BC"/>
    <w:rsid w:val="00BB2E60"/>
    <w:rsid w:val="00BB333C"/>
    <w:rsid w:val="00BC013E"/>
    <w:rsid w:val="00BD0EF4"/>
    <w:rsid w:val="00BE138B"/>
    <w:rsid w:val="00BE6EE2"/>
    <w:rsid w:val="00BF1FC7"/>
    <w:rsid w:val="00BF50D3"/>
    <w:rsid w:val="00BF57C6"/>
    <w:rsid w:val="00BF618A"/>
    <w:rsid w:val="00C071E0"/>
    <w:rsid w:val="00C16B8C"/>
    <w:rsid w:val="00C24698"/>
    <w:rsid w:val="00C25139"/>
    <w:rsid w:val="00C3153E"/>
    <w:rsid w:val="00C31D98"/>
    <w:rsid w:val="00C322AE"/>
    <w:rsid w:val="00C3689F"/>
    <w:rsid w:val="00C3695C"/>
    <w:rsid w:val="00C41565"/>
    <w:rsid w:val="00C44778"/>
    <w:rsid w:val="00C51349"/>
    <w:rsid w:val="00C6062B"/>
    <w:rsid w:val="00C62B91"/>
    <w:rsid w:val="00C65BB1"/>
    <w:rsid w:val="00C725EF"/>
    <w:rsid w:val="00C74B34"/>
    <w:rsid w:val="00C74C0E"/>
    <w:rsid w:val="00C771DC"/>
    <w:rsid w:val="00C77268"/>
    <w:rsid w:val="00C85E43"/>
    <w:rsid w:val="00C919CF"/>
    <w:rsid w:val="00C9252A"/>
    <w:rsid w:val="00C94F2C"/>
    <w:rsid w:val="00CA4EC5"/>
    <w:rsid w:val="00CA7631"/>
    <w:rsid w:val="00CB2F19"/>
    <w:rsid w:val="00CB5EBA"/>
    <w:rsid w:val="00CB5F61"/>
    <w:rsid w:val="00CC355D"/>
    <w:rsid w:val="00CC7AAD"/>
    <w:rsid w:val="00CD1E5C"/>
    <w:rsid w:val="00CD4B30"/>
    <w:rsid w:val="00CD6A27"/>
    <w:rsid w:val="00CD6F96"/>
    <w:rsid w:val="00CE0171"/>
    <w:rsid w:val="00CE2A42"/>
    <w:rsid w:val="00CF1986"/>
    <w:rsid w:val="00CF2D59"/>
    <w:rsid w:val="00CF46B2"/>
    <w:rsid w:val="00CF6830"/>
    <w:rsid w:val="00D03861"/>
    <w:rsid w:val="00D10E8A"/>
    <w:rsid w:val="00D17227"/>
    <w:rsid w:val="00D23AD2"/>
    <w:rsid w:val="00D27708"/>
    <w:rsid w:val="00D42FBE"/>
    <w:rsid w:val="00D50C63"/>
    <w:rsid w:val="00D57F44"/>
    <w:rsid w:val="00D6156D"/>
    <w:rsid w:val="00D650A1"/>
    <w:rsid w:val="00D7622F"/>
    <w:rsid w:val="00D774A0"/>
    <w:rsid w:val="00D77D7D"/>
    <w:rsid w:val="00D84688"/>
    <w:rsid w:val="00D84BEC"/>
    <w:rsid w:val="00D84E02"/>
    <w:rsid w:val="00D86CC8"/>
    <w:rsid w:val="00D90621"/>
    <w:rsid w:val="00DB633E"/>
    <w:rsid w:val="00DB7684"/>
    <w:rsid w:val="00DC0AD1"/>
    <w:rsid w:val="00DD0B66"/>
    <w:rsid w:val="00DD6371"/>
    <w:rsid w:val="00DE0B9D"/>
    <w:rsid w:val="00DE121C"/>
    <w:rsid w:val="00DE3A22"/>
    <w:rsid w:val="00DE4471"/>
    <w:rsid w:val="00DE66AD"/>
    <w:rsid w:val="00E0088E"/>
    <w:rsid w:val="00E070FE"/>
    <w:rsid w:val="00E15498"/>
    <w:rsid w:val="00E2223A"/>
    <w:rsid w:val="00E2369A"/>
    <w:rsid w:val="00E2736F"/>
    <w:rsid w:val="00E27A96"/>
    <w:rsid w:val="00E348E1"/>
    <w:rsid w:val="00E360FF"/>
    <w:rsid w:val="00E408E3"/>
    <w:rsid w:val="00E40E30"/>
    <w:rsid w:val="00E42F6F"/>
    <w:rsid w:val="00E438FA"/>
    <w:rsid w:val="00E50BFA"/>
    <w:rsid w:val="00E53CE9"/>
    <w:rsid w:val="00E55D5E"/>
    <w:rsid w:val="00E56A8B"/>
    <w:rsid w:val="00E61D30"/>
    <w:rsid w:val="00E67D48"/>
    <w:rsid w:val="00E74737"/>
    <w:rsid w:val="00E81C0D"/>
    <w:rsid w:val="00E84AE7"/>
    <w:rsid w:val="00E87032"/>
    <w:rsid w:val="00EA07BA"/>
    <w:rsid w:val="00EA4928"/>
    <w:rsid w:val="00EA4F03"/>
    <w:rsid w:val="00EB7A0E"/>
    <w:rsid w:val="00EC1135"/>
    <w:rsid w:val="00EC18BE"/>
    <w:rsid w:val="00EC2205"/>
    <w:rsid w:val="00EC532A"/>
    <w:rsid w:val="00EC74B0"/>
    <w:rsid w:val="00ED34DE"/>
    <w:rsid w:val="00EE00FB"/>
    <w:rsid w:val="00EE63A9"/>
    <w:rsid w:val="00EE7FE6"/>
    <w:rsid w:val="00EF401D"/>
    <w:rsid w:val="00EF4CF6"/>
    <w:rsid w:val="00F01D2F"/>
    <w:rsid w:val="00F0395A"/>
    <w:rsid w:val="00F04D64"/>
    <w:rsid w:val="00F07035"/>
    <w:rsid w:val="00F32917"/>
    <w:rsid w:val="00F34236"/>
    <w:rsid w:val="00F34BFC"/>
    <w:rsid w:val="00F35525"/>
    <w:rsid w:val="00F35FDD"/>
    <w:rsid w:val="00F466D0"/>
    <w:rsid w:val="00F46765"/>
    <w:rsid w:val="00F513BA"/>
    <w:rsid w:val="00F553B0"/>
    <w:rsid w:val="00F55888"/>
    <w:rsid w:val="00F570A0"/>
    <w:rsid w:val="00F60C92"/>
    <w:rsid w:val="00F656F6"/>
    <w:rsid w:val="00F72BDB"/>
    <w:rsid w:val="00F740BB"/>
    <w:rsid w:val="00F74399"/>
    <w:rsid w:val="00F75659"/>
    <w:rsid w:val="00F77C25"/>
    <w:rsid w:val="00F77EFB"/>
    <w:rsid w:val="00F801C4"/>
    <w:rsid w:val="00F80C17"/>
    <w:rsid w:val="00F81CB3"/>
    <w:rsid w:val="00F85641"/>
    <w:rsid w:val="00F90BF5"/>
    <w:rsid w:val="00FA623F"/>
    <w:rsid w:val="00FB75A6"/>
    <w:rsid w:val="00FC51F3"/>
    <w:rsid w:val="00FC5458"/>
    <w:rsid w:val="00FC6A98"/>
    <w:rsid w:val="00FD063D"/>
    <w:rsid w:val="00FD49A4"/>
    <w:rsid w:val="00FE48FB"/>
    <w:rsid w:val="00FE7C79"/>
    <w:rsid w:val="00FF07CD"/>
    <w:rsid w:val="00FF1403"/>
    <w:rsid w:val="01D7CA35"/>
    <w:rsid w:val="0204C4D3"/>
    <w:rsid w:val="100B9034"/>
    <w:rsid w:val="1297E31E"/>
    <w:rsid w:val="12F0265E"/>
    <w:rsid w:val="14658502"/>
    <w:rsid w:val="1D8B630F"/>
    <w:rsid w:val="22C61896"/>
    <w:rsid w:val="243F68B1"/>
    <w:rsid w:val="2607D1ED"/>
    <w:rsid w:val="299B341B"/>
    <w:rsid w:val="2AD3BB2C"/>
    <w:rsid w:val="2D1C5E58"/>
    <w:rsid w:val="2FADE9EA"/>
    <w:rsid w:val="30FC722A"/>
    <w:rsid w:val="339520F9"/>
    <w:rsid w:val="35236685"/>
    <w:rsid w:val="36423C65"/>
    <w:rsid w:val="38C3128A"/>
    <w:rsid w:val="3BC7B6E5"/>
    <w:rsid w:val="3C6B580A"/>
    <w:rsid w:val="3E6F50AD"/>
    <w:rsid w:val="41818764"/>
    <w:rsid w:val="431D57C5"/>
    <w:rsid w:val="4E25D133"/>
    <w:rsid w:val="51C24AD0"/>
    <w:rsid w:val="54B62393"/>
    <w:rsid w:val="55A9E686"/>
    <w:rsid w:val="563DC7D1"/>
    <w:rsid w:val="5651F3F4"/>
    <w:rsid w:val="6852092D"/>
    <w:rsid w:val="6905D7F7"/>
    <w:rsid w:val="696A44A4"/>
    <w:rsid w:val="6BFBD036"/>
    <w:rsid w:val="729022B1"/>
    <w:rsid w:val="76932703"/>
    <w:rsid w:val="76B29CC1"/>
    <w:rsid w:val="7760C3A4"/>
    <w:rsid w:val="79FCAD2C"/>
    <w:rsid w:val="7A6EBFE8"/>
    <w:rsid w:val="7DD00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0F54"/>
  <w15:docId w15:val="{6D925B7E-A678-4A22-A2DE-62DF1979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A9"/>
    <w:rPr>
      <w:rFonts w:ascii="Arial" w:hAnsi="Arial"/>
    </w:rPr>
  </w:style>
  <w:style w:type="paragraph" w:styleId="Heading1">
    <w:name w:val="heading 1"/>
    <w:basedOn w:val="Normal"/>
    <w:next w:val="Normal"/>
    <w:link w:val="Heading1Char"/>
    <w:uiPriority w:val="9"/>
    <w:qFormat/>
    <w:rsid w:val="00483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70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A6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D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709B"/>
    <w:rPr>
      <w:rFonts w:asciiTheme="majorHAnsi" w:eastAsiaTheme="majorEastAsia" w:hAnsiTheme="majorHAnsi" w:cstheme="majorBidi"/>
      <w:b/>
      <w:bCs/>
      <w:color w:val="4F81BD" w:themeColor="accent1"/>
      <w:sz w:val="26"/>
      <w:szCs w:val="26"/>
    </w:rPr>
  </w:style>
  <w:style w:type="paragraph" w:customStyle="1" w:styleId="Default">
    <w:name w:val="Default"/>
    <w:rsid w:val="004F709B"/>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4F709B"/>
    <w:rPr>
      <w:color w:val="0000FF" w:themeColor="hyperlink"/>
      <w:u w:val="single"/>
    </w:rPr>
  </w:style>
  <w:style w:type="paragraph" w:styleId="ListParagraph">
    <w:name w:val="List Paragraph"/>
    <w:basedOn w:val="Normal"/>
    <w:uiPriority w:val="34"/>
    <w:qFormat/>
    <w:rsid w:val="009F14B4"/>
    <w:pPr>
      <w:ind w:left="720"/>
      <w:contextualSpacing/>
    </w:pPr>
  </w:style>
  <w:style w:type="character" w:styleId="UnresolvedMention">
    <w:name w:val="Unresolved Mention"/>
    <w:basedOn w:val="DefaultParagraphFont"/>
    <w:uiPriority w:val="99"/>
    <w:semiHidden/>
    <w:unhideWhenUsed/>
    <w:rsid w:val="00D57F44"/>
    <w:rPr>
      <w:color w:val="605E5C"/>
      <w:shd w:val="clear" w:color="auto" w:fill="E1DFDD"/>
    </w:rPr>
  </w:style>
  <w:style w:type="character" w:styleId="FollowedHyperlink">
    <w:name w:val="FollowedHyperlink"/>
    <w:basedOn w:val="DefaultParagraphFont"/>
    <w:uiPriority w:val="99"/>
    <w:semiHidden/>
    <w:unhideWhenUsed/>
    <w:rsid w:val="00634625"/>
    <w:rPr>
      <w:color w:val="800080" w:themeColor="followedHyperlink"/>
      <w:u w:val="single"/>
    </w:rPr>
  </w:style>
  <w:style w:type="character" w:styleId="CommentReference">
    <w:name w:val="annotation reference"/>
    <w:basedOn w:val="DefaultParagraphFont"/>
    <w:uiPriority w:val="99"/>
    <w:semiHidden/>
    <w:unhideWhenUsed/>
    <w:rsid w:val="006F475E"/>
    <w:rPr>
      <w:sz w:val="16"/>
      <w:szCs w:val="16"/>
    </w:rPr>
  </w:style>
  <w:style w:type="paragraph" w:styleId="CommentText">
    <w:name w:val="annotation text"/>
    <w:basedOn w:val="Normal"/>
    <w:link w:val="CommentTextChar"/>
    <w:uiPriority w:val="99"/>
    <w:unhideWhenUsed/>
    <w:rsid w:val="006F475E"/>
    <w:pPr>
      <w:spacing w:line="240" w:lineRule="auto"/>
    </w:pPr>
    <w:rPr>
      <w:sz w:val="20"/>
      <w:szCs w:val="20"/>
    </w:rPr>
  </w:style>
  <w:style w:type="character" w:customStyle="1" w:styleId="CommentTextChar">
    <w:name w:val="Comment Text Char"/>
    <w:basedOn w:val="DefaultParagraphFont"/>
    <w:link w:val="CommentText"/>
    <w:uiPriority w:val="99"/>
    <w:rsid w:val="006F47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475E"/>
    <w:rPr>
      <w:b/>
      <w:bCs/>
    </w:rPr>
  </w:style>
  <w:style w:type="character" w:customStyle="1" w:styleId="CommentSubjectChar">
    <w:name w:val="Comment Subject Char"/>
    <w:basedOn w:val="CommentTextChar"/>
    <w:link w:val="CommentSubject"/>
    <w:uiPriority w:val="99"/>
    <w:semiHidden/>
    <w:rsid w:val="006F475E"/>
    <w:rPr>
      <w:rFonts w:ascii="Arial" w:hAnsi="Arial"/>
      <w:b/>
      <w:bCs/>
      <w:sz w:val="20"/>
      <w:szCs w:val="20"/>
    </w:rPr>
  </w:style>
  <w:style w:type="paragraph" w:styleId="BalloonText">
    <w:name w:val="Balloon Text"/>
    <w:basedOn w:val="Normal"/>
    <w:link w:val="BalloonTextChar"/>
    <w:uiPriority w:val="99"/>
    <w:semiHidden/>
    <w:unhideWhenUsed/>
    <w:rsid w:val="006F4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75E"/>
    <w:rPr>
      <w:rFonts w:ascii="Segoe UI" w:hAnsi="Segoe UI" w:cs="Segoe UI"/>
      <w:sz w:val="18"/>
      <w:szCs w:val="18"/>
    </w:rPr>
  </w:style>
  <w:style w:type="paragraph" w:styleId="NormalWeb">
    <w:name w:val="Normal (Web)"/>
    <w:basedOn w:val="Normal"/>
    <w:uiPriority w:val="99"/>
    <w:semiHidden/>
    <w:unhideWhenUsed/>
    <w:rsid w:val="004233B7"/>
    <w:rPr>
      <w:rFonts w:ascii="Times New Roman" w:hAnsi="Times New Roman" w:cs="Times New Roman"/>
      <w:sz w:val="24"/>
      <w:szCs w:val="24"/>
    </w:rPr>
  </w:style>
  <w:style w:type="paragraph" w:styleId="Revision">
    <w:name w:val="Revision"/>
    <w:hidden/>
    <w:uiPriority w:val="99"/>
    <w:semiHidden/>
    <w:rsid w:val="00EB7A0E"/>
    <w:pPr>
      <w:spacing w:after="0" w:line="240" w:lineRule="auto"/>
    </w:pPr>
    <w:rPr>
      <w:rFonts w:ascii="Arial" w:hAnsi="Arial"/>
    </w:rPr>
  </w:style>
  <w:style w:type="paragraph" w:styleId="Header">
    <w:name w:val="header"/>
    <w:basedOn w:val="Normal"/>
    <w:link w:val="HeaderChar"/>
    <w:uiPriority w:val="99"/>
    <w:unhideWhenUsed/>
    <w:rsid w:val="00E4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E30"/>
    <w:rPr>
      <w:rFonts w:ascii="Arial" w:hAnsi="Arial"/>
    </w:rPr>
  </w:style>
  <w:style w:type="paragraph" w:styleId="Footer">
    <w:name w:val="footer"/>
    <w:basedOn w:val="Normal"/>
    <w:link w:val="FooterChar"/>
    <w:uiPriority w:val="99"/>
    <w:unhideWhenUsed/>
    <w:rsid w:val="00E4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E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094">
      <w:bodyDiv w:val="1"/>
      <w:marLeft w:val="0"/>
      <w:marRight w:val="0"/>
      <w:marTop w:val="0"/>
      <w:marBottom w:val="0"/>
      <w:divBdr>
        <w:top w:val="none" w:sz="0" w:space="0" w:color="auto"/>
        <w:left w:val="none" w:sz="0" w:space="0" w:color="auto"/>
        <w:bottom w:val="none" w:sz="0" w:space="0" w:color="auto"/>
        <w:right w:val="none" w:sz="0" w:space="0" w:color="auto"/>
      </w:divBdr>
    </w:div>
    <w:div w:id="158810996">
      <w:bodyDiv w:val="1"/>
      <w:marLeft w:val="0"/>
      <w:marRight w:val="0"/>
      <w:marTop w:val="0"/>
      <w:marBottom w:val="0"/>
      <w:divBdr>
        <w:top w:val="none" w:sz="0" w:space="0" w:color="auto"/>
        <w:left w:val="none" w:sz="0" w:space="0" w:color="auto"/>
        <w:bottom w:val="none" w:sz="0" w:space="0" w:color="auto"/>
        <w:right w:val="none" w:sz="0" w:space="0" w:color="auto"/>
      </w:divBdr>
    </w:div>
    <w:div w:id="413010151">
      <w:bodyDiv w:val="1"/>
      <w:marLeft w:val="0"/>
      <w:marRight w:val="0"/>
      <w:marTop w:val="0"/>
      <w:marBottom w:val="0"/>
      <w:divBdr>
        <w:top w:val="none" w:sz="0" w:space="0" w:color="auto"/>
        <w:left w:val="none" w:sz="0" w:space="0" w:color="auto"/>
        <w:bottom w:val="none" w:sz="0" w:space="0" w:color="auto"/>
        <w:right w:val="none" w:sz="0" w:space="0" w:color="auto"/>
      </w:divBdr>
    </w:div>
    <w:div w:id="623850380">
      <w:bodyDiv w:val="1"/>
      <w:marLeft w:val="0"/>
      <w:marRight w:val="0"/>
      <w:marTop w:val="0"/>
      <w:marBottom w:val="0"/>
      <w:divBdr>
        <w:top w:val="none" w:sz="0" w:space="0" w:color="auto"/>
        <w:left w:val="none" w:sz="0" w:space="0" w:color="auto"/>
        <w:bottom w:val="none" w:sz="0" w:space="0" w:color="auto"/>
        <w:right w:val="none" w:sz="0" w:space="0" w:color="auto"/>
      </w:divBdr>
    </w:div>
    <w:div w:id="679822054">
      <w:bodyDiv w:val="1"/>
      <w:marLeft w:val="0"/>
      <w:marRight w:val="0"/>
      <w:marTop w:val="0"/>
      <w:marBottom w:val="0"/>
      <w:divBdr>
        <w:top w:val="none" w:sz="0" w:space="0" w:color="auto"/>
        <w:left w:val="none" w:sz="0" w:space="0" w:color="auto"/>
        <w:bottom w:val="none" w:sz="0" w:space="0" w:color="auto"/>
        <w:right w:val="none" w:sz="0" w:space="0" w:color="auto"/>
      </w:divBdr>
    </w:div>
    <w:div w:id="1461072205">
      <w:bodyDiv w:val="1"/>
      <w:marLeft w:val="0"/>
      <w:marRight w:val="0"/>
      <w:marTop w:val="0"/>
      <w:marBottom w:val="0"/>
      <w:divBdr>
        <w:top w:val="none" w:sz="0" w:space="0" w:color="auto"/>
        <w:left w:val="none" w:sz="0" w:space="0" w:color="auto"/>
        <w:bottom w:val="none" w:sz="0" w:space="0" w:color="auto"/>
        <w:right w:val="none" w:sz="0" w:space="0" w:color="auto"/>
      </w:divBdr>
    </w:div>
    <w:div w:id="1560289545">
      <w:bodyDiv w:val="1"/>
      <w:marLeft w:val="0"/>
      <w:marRight w:val="0"/>
      <w:marTop w:val="0"/>
      <w:marBottom w:val="0"/>
      <w:divBdr>
        <w:top w:val="none" w:sz="0" w:space="0" w:color="auto"/>
        <w:left w:val="none" w:sz="0" w:space="0" w:color="auto"/>
        <w:bottom w:val="none" w:sz="0" w:space="0" w:color="auto"/>
        <w:right w:val="none" w:sz="0" w:space="0" w:color="auto"/>
      </w:divBdr>
    </w:div>
    <w:div w:id="1836988800">
      <w:bodyDiv w:val="1"/>
      <w:marLeft w:val="0"/>
      <w:marRight w:val="0"/>
      <w:marTop w:val="0"/>
      <w:marBottom w:val="0"/>
      <w:divBdr>
        <w:top w:val="none" w:sz="0" w:space="0" w:color="auto"/>
        <w:left w:val="none" w:sz="0" w:space="0" w:color="auto"/>
        <w:bottom w:val="none" w:sz="0" w:space="0" w:color="auto"/>
        <w:right w:val="none" w:sz="0" w:space="0" w:color="auto"/>
      </w:divBdr>
    </w:div>
    <w:div w:id="1891572147">
      <w:bodyDiv w:val="1"/>
      <w:marLeft w:val="0"/>
      <w:marRight w:val="0"/>
      <w:marTop w:val="0"/>
      <w:marBottom w:val="0"/>
      <w:divBdr>
        <w:top w:val="none" w:sz="0" w:space="0" w:color="auto"/>
        <w:left w:val="none" w:sz="0" w:space="0" w:color="auto"/>
        <w:bottom w:val="none" w:sz="0" w:space="0" w:color="auto"/>
        <w:right w:val="none" w:sz="0" w:space="0" w:color="auto"/>
      </w:divBdr>
    </w:div>
    <w:div w:id="214087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ada.ca/en/public-health/services/surveillance/respiratory-virus-detections-canada.html" TargetMode="External"/><Relationship Id="rId21" Type="http://schemas.openxmlformats.org/officeDocument/2006/relationships/hyperlink" Target="https://ised-isde.canada.ca/site/canada-digital-adoption-program/en/grow-your-business-online" TargetMode="External"/><Relationship Id="rId34" Type="http://schemas.openxmlformats.org/officeDocument/2006/relationships/hyperlink" Target="https://www.international.gc.ca/transparency-transparence/international-assistance-report-rapport-aide-internationale/2020-2021.aspx?lang=eng" TargetMode="External"/><Relationship Id="rId42" Type="http://schemas.openxmlformats.org/officeDocument/2006/relationships/hyperlink" Target="https://ised-isde.canada.ca/site/high-speed-internet-canada/en/universal-broadband-fund/universal-broadband-fund-covid-19-rapid-response-stream/selected-universal-broadband-fund-projects" TargetMode="External"/><Relationship Id="rId47" Type="http://schemas.openxmlformats.org/officeDocument/2006/relationships/hyperlink" Target="https://www.statcan.gc.ca/en/about/datastrategy" TargetMode="External"/><Relationship Id="rId50" Type="http://schemas.openxmlformats.org/officeDocument/2006/relationships/hyperlink" Target="https://www.budget.gc.ca/2022/pdf/budget-2022-en.pdf" TargetMode="External"/><Relationship Id="rId55" Type="http://schemas.openxmlformats.org/officeDocument/2006/relationships/hyperlink" Target="https://www.ourcommons.ca/Committees/en/ETHI/StudyActivity?studyActivityId=9993140" TargetMode="External"/><Relationship Id="rId63" Type="http://schemas.openxmlformats.org/officeDocument/2006/relationships/hyperlink" Target="https://www.international.gc.ca/trade-commerce/consultations/depa-apen/background-information.aspx?lang=e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urcommons.ca/Committees/en/INDU/StudyActivity?studyActivityId=9604427" TargetMode="External"/><Relationship Id="rId29" Type="http://schemas.openxmlformats.org/officeDocument/2006/relationships/hyperlink" Target="https://www.canada.ca/en/natural-resources-canada/news/2022/03/government-of-canada-helps-protect-canadians-with-earthquake-early-warning-system.html" TargetMode="External"/><Relationship Id="rId11" Type="http://schemas.openxmlformats.org/officeDocument/2006/relationships/footer" Target="footer1.xml"/><Relationship Id="rId24" Type="http://schemas.openxmlformats.org/officeDocument/2006/relationships/hyperlink" Target="https://docs.wto.org/dol2fe/Pages/SS/directdoc.aspx?filename=q:/WT/L/1056.pdf&amp;Open=True" TargetMode="External"/><Relationship Id="rId32" Type="http://schemas.openxmlformats.org/officeDocument/2006/relationships/hyperlink" Target="https://www.international.gc.ca/transparency-transparence/international-assistance-report-rapport-aide-internationale/2019-2020.aspx?lang=eng" TargetMode="External"/><Relationship Id="rId37" Type="http://schemas.openxmlformats.org/officeDocument/2006/relationships/hyperlink" Target="https://www.parl.ca/LegisInfo/en/bill/44-1/c-26" TargetMode="External"/><Relationship Id="rId40" Type="http://schemas.openxmlformats.org/officeDocument/2006/relationships/hyperlink" Target="https://ised-isde.canada.ca/site/high-speed-internet-canada/en/canadas-connectivity-strategy/high-speed-access-all-canadas-connectivity-strategy" TargetMode="External"/><Relationship Id="rId45" Type="http://schemas.openxmlformats.org/officeDocument/2006/relationships/hyperlink" Target="https://www.ic.gc.ca/eic/site/028.nsf/eng/50044.html" TargetMode="External"/><Relationship Id="rId53" Type="http://schemas.openxmlformats.org/officeDocument/2006/relationships/hyperlink" Target="https://nrc.canada.ca/en/stories/exploring-blockchain-better-business" TargetMode="External"/><Relationship Id="rId58" Type="http://schemas.openxmlformats.org/officeDocument/2006/relationships/hyperlink" Target="https://www.ourcommons.ca/DocumentViewer/en/43-2/PACP/report-24/page-5" TargetMode="External"/><Relationship Id="rId5" Type="http://schemas.openxmlformats.org/officeDocument/2006/relationships/webSettings" Target="webSettings.xml"/><Relationship Id="rId61" Type="http://schemas.openxmlformats.org/officeDocument/2006/relationships/hyperlink" Target="https://sencanada.ca/content/sen/committee/421/BANC/Reports/BANC_Report_FINAL_e.pdf" TargetMode="External"/><Relationship Id="rId19" Type="http://schemas.openxmlformats.org/officeDocument/2006/relationships/hyperlink" Target="https://www.parl.ca/LegisInfo/en/bill/44-1/c-11" TargetMode="External"/><Relationship Id="rId14" Type="http://schemas.openxmlformats.org/officeDocument/2006/relationships/footer" Target="footer3.xml"/><Relationship Id="rId22" Type="http://schemas.openxmlformats.org/officeDocument/2006/relationships/hyperlink" Target="https://ised-isde.canada.ca/site/canada-digital-adoption-program/en/boost-your-business-technology" TargetMode="External"/><Relationship Id="rId27" Type="http://schemas.openxmlformats.org/officeDocument/2006/relationships/hyperlink" Target="https://gphin.canada.ca/cepr/aboutgphin-rmispenbref.jsp?language=en_CA" TargetMode="External"/><Relationship Id="rId30" Type="http://schemas.openxmlformats.org/officeDocument/2006/relationships/hyperlink" Target="https://www.publicsafety.gc.ca/cnt/rsrcs/pblctns/ntnl-cbr-scrt-strtg-2019/index-en.aspx" TargetMode="External"/><Relationship Id="rId35" Type="http://schemas.openxmlformats.org/officeDocument/2006/relationships/hyperlink" Target="https://www.parl.ca/LegisInfo/en/bill/44-1/C-27" TargetMode="External"/><Relationship Id="rId43" Type="http://schemas.openxmlformats.org/officeDocument/2006/relationships/hyperlink" Target="https://crtc.gc.ca/eng/internet/select.htm" TargetMode="External"/><Relationship Id="rId48" Type="http://schemas.openxmlformats.org/officeDocument/2006/relationships/hyperlink" Target="https://www.canada.ca/en/government/system/digital-government/digital-government-strategy.html" TargetMode="External"/><Relationship Id="rId56" Type="http://schemas.openxmlformats.org/officeDocument/2006/relationships/hyperlink" Target="https://www.ourcommons.ca/Committees/en/ETHI/StudyActivity?studyActivityId=9801483" TargetMode="External"/><Relationship Id="rId64" Type="http://schemas.openxmlformats.org/officeDocument/2006/relationships/fontTable" Target="fontTable.xml"/><Relationship Id="rId8" Type="http://schemas.openxmlformats.org/officeDocument/2006/relationships/hyperlink" Target="http://appf29.org/lib/download.php?file_name=RES07_ACCELERATING+DIGITAL+ECONOMY+AND+ENHANCING+CONNECTIVITY.pdf&amp;save_file=a_202112231014390.pdf&amp;meta=free" TargetMode="External"/><Relationship Id="rId51" Type="http://schemas.openxmlformats.org/officeDocument/2006/relationships/hyperlink" Target="https://sencanada.ca/content/sen/committee/421/BANC/Reports/BANC_Report_FINAL_e.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ourcommons.ca/DocumentViewer/en/42-1/CIIT/report-9/page-5" TargetMode="External"/><Relationship Id="rId25" Type="http://schemas.openxmlformats.org/officeDocument/2006/relationships/hyperlink" Target="https://pm.gc.ca/en/news/statements/2022/06/28/g7-leaders-communique" TargetMode="External"/><Relationship Id="rId33" Type="http://schemas.openxmlformats.org/officeDocument/2006/relationships/hyperlink" Target="https://www.itu.int/en/ITU-D/Digital-Inclusion/Women-and-Girls/Girls-in-ICT-Portal/Pages/Portal.aspx" TargetMode="External"/><Relationship Id="rId38" Type="http://schemas.openxmlformats.org/officeDocument/2006/relationships/hyperlink" Target="https://www.parl.ca/legisinfo/en/bill/44-1/c-19" TargetMode="External"/><Relationship Id="rId46" Type="http://schemas.openxmlformats.org/officeDocument/2006/relationships/hyperlink" Target="https://www.canada.ca/en/innovation-science-economic-development/news/2022/01/government-of-canada-delivers-on-commitment-to-reduce-cell-phone-wireless-plans-by-25.html" TargetMode="External"/><Relationship Id="rId59" Type="http://schemas.openxmlformats.org/officeDocument/2006/relationships/hyperlink" Target="https://www.ourcommons.ca/Committees/en/INDU/StudyActivity?studyActivityId=11555561" TargetMode="External"/><Relationship Id="rId20" Type="http://schemas.openxmlformats.org/officeDocument/2006/relationships/hyperlink" Target="https://ised-isde.canada.ca/site/canada-digital-adoption-program/en" TargetMode="External"/><Relationship Id="rId41" Type="http://schemas.openxmlformats.org/officeDocument/2006/relationships/hyperlink" Target="https://ised-isde.canada.ca/site/high-speed-internet-canada/en/progress-toward-universal-access-high-speed-internet" TargetMode="External"/><Relationship Id="rId54" Type="http://schemas.openxmlformats.org/officeDocument/2006/relationships/hyperlink" Target="https://www.ourcommons.ca/Committees/en/ETHI/StudyActivity?studyActivityId=11566271" TargetMode="External"/><Relationship Id="rId62" Type="http://schemas.openxmlformats.org/officeDocument/2006/relationships/hyperlink" Target="https://www.canada.ca/en/global-affairs/news/2022/05/minister-ng-participated-in-the-2022-apec-ministers-responsible-for-trade-meeting-in-thailand.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urcommons.ca/DocumentViewer/en/41-1/INDU/report-1/page-5" TargetMode="External"/><Relationship Id="rId23" Type="http://schemas.openxmlformats.org/officeDocument/2006/relationships/hyperlink" Target="https://www.competitionbureau.gc.ca/eic/site/cb-bc.nsf/eng/04392.html" TargetMode="External"/><Relationship Id="rId28" Type="http://schemas.openxmlformats.org/officeDocument/2006/relationships/hyperlink" Target="https://earthquakescanada.nrcan.gc.ca/eew-asp/system-en.php" TargetMode="External"/><Relationship Id="rId36" Type="http://schemas.openxmlformats.org/officeDocument/2006/relationships/hyperlink" Target="https://ised-isde.canada.ca/site/innovation-better-canada/en/canadas-digital-charter/canadas-digital-and-data-strategy" TargetMode="External"/><Relationship Id="rId49" Type="http://schemas.openxmlformats.org/officeDocument/2006/relationships/hyperlink" Target="https://digital.canada.ca/" TargetMode="External"/><Relationship Id="rId57" Type="http://schemas.openxmlformats.org/officeDocument/2006/relationships/hyperlink" Target="https://www.ourcommons.ca/DocumentViewer/en/43-2/PACP/report-14/page-5" TargetMode="External"/><Relationship Id="rId10" Type="http://schemas.openxmlformats.org/officeDocument/2006/relationships/header" Target="header2.xml"/><Relationship Id="rId31" Type="http://schemas.openxmlformats.org/officeDocument/2006/relationships/hyperlink" Target="https://www.rcmp-grc.gc.ca/en/new-cybercrime-and-fraud-reporting-system" TargetMode="External"/><Relationship Id="rId44" Type="http://schemas.openxmlformats.org/officeDocument/2006/relationships/hyperlink" Target="https://ised-isde.canada.ca/site/connect-to-innovate/en" TargetMode="External"/><Relationship Id="rId52" Type="http://schemas.openxmlformats.org/officeDocument/2006/relationships/hyperlink" Target="https://www.ourcommons.ca/DocumentViewer/en/42-1/SECU/report-38/" TargetMode="External"/><Relationship Id="rId60" Type="http://schemas.openxmlformats.org/officeDocument/2006/relationships/hyperlink" Target="https://www.ourcommons.ca/Committees/en/INDU/StudyActivity?studyActivityId=1150529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ourcommons.ca/DocumentViewer/en/43-2/PACP/report-14/page-5" TargetMode="External"/><Relationship Id="rId39" Type="http://schemas.openxmlformats.org/officeDocument/2006/relationships/hyperlink" Target="https://budget.gc.ca/2022/report-rapport/chap2-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3077-D92C-4413-949A-8AE68222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3603</Words>
  <Characters>20542</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Leyne, Siobhan (REPS)</dc:creator>
  <cp:keywords/>
  <cp:lastModifiedBy>Bialais, Corentin : LOP-BDP</cp:lastModifiedBy>
  <cp:revision>4</cp:revision>
  <dcterms:created xsi:type="dcterms:W3CDTF">2022-08-24T21:59:00Z</dcterms:created>
  <dcterms:modified xsi:type="dcterms:W3CDTF">2022-08-30T21:56:00Z</dcterms:modified>
</cp:coreProperties>
</file>